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2B90" w14:textId="77777777" w:rsidR="00B730A9" w:rsidRPr="00B730A9" w:rsidRDefault="00B730A9" w:rsidP="00B730A9">
      <w:pPr>
        <w:rPr>
          <w:rFonts w:ascii="Arial" w:hAnsi="Arial" w:cs="Arial"/>
          <w:b/>
          <w:bCs/>
          <w:sz w:val="24"/>
          <w:szCs w:val="24"/>
        </w:rPr>
      </w:pPr>
      <w:r w:rsidRPr="00B730A9">
        <w:rPr>
          <w:rFonts w:ascii="Arial" w:hAnsi="Arial" w:cs="Arial"/>
          <w:b/>
          <w:bCs/>
          <w:sz w:val="24"/>
          <w:szCs w:val="24"/>
        </w:rPr>
        <w:t>CPCSD FIRE SERVICES SUSTAINABILITY PLAN (DRAFT)</w:t>
      </w:r>
    </w:p>
    <w:p w14:paraId="3641E2D1" w14:textId="77777777" w:rsidR="00B730A9" w:rsidRPr="00B730A9" w:rsidRDefault="00B730A9" w:rsidP="00B730A9">
      <w:pPr>
        <w:rPr>
          <w:rFonts w:ascii="Arial" w:hAnsi="Arial" w:cs="Arial"/>
          <w:sz w:val="24"/>
          <w:szCs w:val="24"/>
        </w:rPr>
      </w:pPr>
      <w:r w:rsidRPr="00B730A9">
        <w:rPr>
          <w:rFonts w:ascii="Arial" w:hAnsi="Arial" w:cs="Arial"/>
          <w:i/>
          <w:iCs/>
          <w:sz w:val="24"/>
          <w:szCs w:val="24"/>
        </w:rPr>
        <w:t>A Strategic Framework for Operational, Financial, and Capital Sustainability</w:t>
      </w:r>
    </w:p>
    <w:p w14:paraId="18A74BEA" w14:textId="77777777" w:rsidR="00B730A9" w:rsidRPr="00B730A9" w:rsidRDefault="00000000" w:rsidP="00B730A9">
      <w:pPr>
        <w:rPr>
          <w:rFonts w:ascii="Arial" w:hAnsi="Arial" w:cs="Arial"/>
          <w:sz w:val="24"/>
          <w:szCs w:val="24"/>
        </w:rPr>
      </w:pPr>
      <w:r>
        <w:rPr>
          <w:rFonts w:ascii="Arial" w:hAnsi="Arial" w:cs="Arial"/>
          <w:sz w:val="24"/>
          <w:szCs w:val="24"/>
        </w:rPr>
        <w:pict w14:anchorId="79C758E9">
          <v:rect id="_x0000_i1025" style="width:0;height:1.5pt" o:hralign="center" o:hrstd="t" o:hr="t" fillcolor="#a0a0a0" stroked="f"/>
        </w:pict>
      </w:r>
    </w:p>
    <w:p w14:paraId="651802BB" w14:textId="293B49EE" w:rsidR="00B730A9" w:rsidRPr="00B730A9" w:rsidRDefault="00B730A9" w:rsidP="00B730A9">
      <w:pPr>
        <w:rPr>
          <w:rFonts w:ascii="Arial" w:hAnsi="Arial" w:cs="Arial"/>
          <w:b/>
          <w:bCs/>
          <w:sz w:val="24"/>
          <w:szCs w:val="24"/>
        </w:rPr>
      </w:pPr>
      <w:r w:rsidRPr="00B730A9">
        <w:rPr>
          <w:rFonts w:ascii="Arial" w:hAnsi="Arial" w:cs="Arial"/>
          <w:b/>
          <w:bCs/>
          <w:sz w:val="24"/>
          <w:szCs w:val="24"/>
        </w:rPr>
        <w:t>Purpose of the Sustainability Plan</w:t>
      </w:r>
    </w:p>
    <w:p w14:paraId="652DBF03"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The purpose of this Fire Services Sustainability Plan is to provide the Cameron Park Community Services District (CPCSD) Board of Directors with a clear, data-driven assessment of the District’s long-term fire and emergency service needs. The plan evaluates the operational, financial, and capital implications of various service models and identifies the most sustainable path forward for maintaining high-quality fire protection and emergency response throughout the community.</w:t>
      </w:r>
    </w:p>
    <w:p w14:paraId="2705B254"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Over the past several years, CPCSD has explored multiple concepts for fire service sustainability. These discussions were accelerated by the District’s earlier lack of clarity regarding its financial records and actual fiscal standing. During this period, uncertainty around available fund balances and structural operating costs created concern about the District’s ability to sustain fire services long term.</w:t>
      </w:r>
    </w:p>
    <w:p w14:paraId="20970AFF"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Since then, significant progress has been made. All outstanding audits have been completed, and the District now has a clear, accurate understanding of its financial position. The District’s fiscal condition is considered stable; however, long-term projections indicate that additional revenue sources will be necessary to maintain service levels, address rising contract costs, modernize facilities, and meet future community needs.</w:t>
      </w:r>
    </w:p>
    <w:p w14:paraId="5D8DA13E" w14:textId="77777777" w:rsidR="00B730A9" w:rsidRPr="00B730A9" w:rsidRDefault="00B730A9" w:rsidP="00B730A9">
      <w:pPr>
        <w:rPr>
          <w:rFonts w:ascii="Arial" w:hAnsi="Arial" w:cs="Arial"/>
          <w:sz w:val="24"/>
          <w:szCs w:val="24"/>
        </w:rPr>
      </w:pPr>
      <w:r w:rsidRPr="00B730A9">
        <w:rPr>
          <w:rFonts w:ascii="Arial" w:hAnsi="Arial" w:cs="Arial"/>
          <w:sz w:val="24"/>
          <w:szCs w:val="24"/>
        </w:rPr>
        <w:t>This plan responds to Board direction—including specific requests from Director Israel—to examine:</w:t>
      </w:r>
    </w:p>
    <w:p w14:paraId="1D6FA1BD" w14:textId="77777777" w:rsidR="00B730A9" w:rsidRPr="00B730A9" w:rsidRDefault="00B730A9" w:rsidP="00B730A9">
      <w:pPr>
        <w:numPr>
          <w:ilvl w:val="0"/>
          <w:numId w:val="20"/>
        </w:numPr>
        <w:rPr>
          <w:rFonts w:ascii="Arial" w:hAnsi="Arial" w:cs="Arial"/>
          <w:sz w:val="24"/>
          <w:szCs w:val="24"/>
        </w:rPr>
      </w:pPr>
      <w:r w:rsidRPr="00B730A9">
        <w:rPr>
          <w:rFonts w:ascii="Arial" w:hAnsi="Arial" w:cs="Arial"/>
          <w:sz w:val="24"/>
          <w:szCs w:val="24"/>
        </w:rPr>
        <w:t>The cost and feasibility of maintaining two fire stations</w:t>
      </w:r>
    </w:p>
    <w:p w14:paraId="5E9C9DCF" w14:textId="77777777" w:rsidR="00B730A9" w:rsidRPr="00B730A9" w:rsidRDefault="00B730A9" w:rsidP="00B730A9">
      <w:pPr>
        <w:numPr>
          <w:ilvl w:val="0"/>
          <w:numId w:val="20"/>
        </w:numPr>
        <w:rPr>
          <w:rFonts w:ascii="Arial" w:hAnsi="Arial" w:cs="Arial"/>
          <w:sz w:val="24"/>
          <w:szCs w:val="24"/>
        </w:rPr>
      </w:pPr>
      <w:r w:rsidRPr="00B730A9">
        <w:rPr>
          <w:rFonts w:ascii="Arial" w:hAnsi="Arial" w:cs="Arial"/>
          <w:sz w:val="24"/>
          <w:szCs w:val="24"/>
        </w:rPr>
        <w:t>The impacts and risks associated with consolidating into one station</w:t>
      </w:r>
    </w:p>
    <w:p w14:paraId="395EF959" w14:textId="77777777" w:rsidR="00B730A9" w:rsidRPr="00B730A9" w:rsidRDefault="00B730A9" w:rsidP="00B730A9">
      <w:pPr>
        <w:numPr>
          <w:ilvl w:val="0"/>
          <w:numId w:val="20"/>
        </w:numPr>
        <w:rPr>
          <w:rFonts w:ascii="Arial" w:hAnsi="Arial" w:cs="Arial"/>
          <w:sz w:val="24"/>
          <w:szCs w:val="24"/>
        </w:rPr>
      </w:pPr>
      <w:r w:rsidRPr="00B730A9">
        <w:rPr>
          <w:rFonts w:ascii="Arial" w:hAnsi="Arial" w:cs="Arial"/>
          <w:sz w:val="24"/>
          <w:szCs w:val="24"/>
        </w:rPr>
        <w:t>The capital and operational requirements to construct a new station</w:t>
      </w:r>
    </w:p>
    <w:p w14:paraId="0B909B6F" w14:textId="77777777" w:rsidR="00B730A9" w:rsidRPr="00B730A9" w:rsidRDefault="00B730A9" w:rsidP="00B730A9">
      <w:pPr>
        <w:numPr>
          <w:ilvl w:val="0"/>
          <w:numId w:val="20"/>
        </w:numPr>
        <w:rPr>
          <w:rFonts w:ascii="Arial" w:hAnsi="Arial" w:cs="Arial"/>
          <w:sz w:val="24"/>
          <w:szCs w:val="24"/>
        </w:rPr>
      </w:pPr>
      <w:r w:rsidRPr="00B730A9">
        <w:rPr>
          <w:rFonts w:ascii="Arial" w:hAnsi="Arial" w:cs="Arial"/>
          <w:sz w:val="24"/>
          <w:szCs w:val="24"/>
        </w:rPr>
        <w:t>Long-term fiscal implications of CAL FIRE contract cost escalation</w:t>
      </w:r>
    </w:p>
    <w:p w14:paraId="45A7AB78" w14:textId="77777777" w:rsidR="00B730A9" w:rsidRPr="00B730A9" w:rsidRDefault="00B730A9" w:rsidP="00B730A9">
      <w:pPr>
        <w:numPr>
          <w:ilvl w:val="0"/>
          <w:numId w:val="20"/>
        </w:numPr>
        <w:rPr>
          <w:rFonts w:ascii="Arial" w:hAnsi="Arial" w:cs="Arial"/>
          <w:sz w:val="24"/>
          <w:szCs w:val="24"/>
        </w:rPr>
      </w:pPr>
      <w:r w:rsidRPr="00B730A9">
        <w:rPr>
          <w:rFonts w:ascii="Arial" w:hAnsi="Arial" w:cs="Arial"/>
          <w:sz w:val="24"/>
          <w:szCs w:val="24"/>
        </w:rPr>
        <w:t>Funding strategies that support operational and capital sustainability</w:t>
      </w:r>
    </w:p>
    <w:p w14:paraId="4C69F2A2" w14:textId="77777777" w:rsidR="00B730A9" w:rsidRPr="00B730A9" w:rsidRDefault="00B730A9" w:rsidP="00B730A9">
      <w:pPr>
        <w:numPr>
          <w:ilvl w:val="0"/>
          <w:numId w:val="20"/>
        </w:numPr>
        <w:rPr>
          <w:rFonts w:ascii="Arial" w:hAnsi="Arial" w:cs="Arial"/>
          <w:sz w:val="24"/>
          <w:szCs w:val="24"/>
        </w:rPr>
      </w:pPr>
      <w:r w:rsidRPr="00B730A9">
        <w:rPr>
          <w:rFonts w:ascii="Arial" w:hAnsi="Arial" w:cs="Arial"/>
          <w:sz w:val="24"/>
          <w:szCs w:val="24"/>
        </w:rPr>
        <w:t>Opportunities for regional alignment, including the El Dorado Ready Initiative</w:t>
      </w:r>
    </w:p>
    <w:p w14:paraId="178E1B1A" w14:textId="77777777" w:rsidR="00B730A9" w:rsidRPr="00B730A9" w:rsidRDefault="00B730A9" w:rsidP="00B730A9">
      <w:pPr>
        <w:numPr>
          <w:ilvl w:val="0"/>
          <w:numId w:val="20"/>
        </w:numPr>
        <w:rPr>
          <w:rFonts w:ascii="Arial" w:hAnsi="Arial" w:cs="Arial"/>
          <w:sz w:val="24"/>
          <w:szCs w:val="24"/>
        </w:rPr>
      </w:pPr>
      <w:r w:rsidRPr="00B730A9">
        <w:rPr>
          <w:rFonts w:ascii="Arial" w:hAnsi="Arial" w:cs="Arial"/>
          <w:sz w:val="24"/>
          <w:szCs w:val="24"/>
        </w:rPr>
        <w:t>A realistic timeline for consultant engagement, public outreach, and potential ballot measures</w:t>
      </w:r>
    </w:p>
    <w:p w14:paraId="41B27DA7"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The Sustainability Plan provides the Board with the information needed to make strategic decisions that ensure CPCSD’s fire and emergency services remain operationally resilient, fiscally sustainable, and aligned with community expectations.</w:t>
      </w:r>
    </w:p>
    <w:p w14:paraId="32795577" w14:textId="4E542C63" w:rsidR="00B730A9" w:rsidRPr="00B730A9" w:rsidRDefault="00B730A9" w:rsidP="00B730A9">
      <w:pPr>
        <w:rPr>
          <w:rFonts w:ascii="Arial" w:hAnsi="Arial" w:cs="Arial"/>
          <w:b/>
          <w:bCs/>
          <w:sz w:val="24"/>
          <w:szCs w:val="24"/>
        </w:rPr>
      </w:pPr>
      <w:r w:rsidRPr="00B730A9">
        <w:rPr>
          <w:rFonts w:ascii="Arial" w:hAnsi="Arial" w:cs="Arial"/>
          <w:b/>
          <w:bCs/>
          <w:sz w:val="24"/>
          <w:szCs w:val="24"/>
        </w:rPr>
        <w:lastRenderedPageBreak/>
        <w:t>Background</w:t>
      </w:r>
    </w:p>
    <w:p w14:paraId="73D07E15" w14:textId="77777777" w:rsidR="00B730A9" w:rsidRPr="00B730A9" w:rsidRDefault="00B730A9" w:rsidP="00B730A9">
      <w:pPr>
        <w:rPr>
          <w:rFonts w:ascii="Arial" w:hAnsi="Arial" w:cs="Arial"/>
          <w:sz w:val="24"/>
          <w:szCs w:val="24"/>
        </w:rPr>
      </w:pPr>
      <w:r w:rsidRPr="00B730A9">
        <w:rPr>
          <w:rFonts w:ascii="Arial" w:hAnsi="Arial" w:cs="Arial"/>
          <w:sz w:val="24"/>
          <w:szCs w:val="24"/>
        </w:rPr>
        <w:t>CPCSD has provided fire and emergency medical services through a long-standing partnership with CAL FIRE for nearly 30 years. During this period, CPCSD has consistently delivered reliable service while leveraging the staffing depth, operational oversight, and surge capacity of the CAL FIRE model.</w:t>
      </w:r>
    </w:p>
    <w:p w14:paraId="2081F340" w14:textId="77777777" w:rsidR="00B730A9" w:rsidRPr="00B730A9" w:rsidRDefault="00B730A9" w:rsidP="00B730A9">
      <w:pPr>
        <w:rPr>
          <w:rFonts w:ascii="Arial" w:hAnsi="Arial" w:cs="Arial"/>
          <w:sz w:val="24"/>
          <w:szCs w:val="24"/>
        </w:rPr>
      </w:pPr>
      <w:r w:rsidRPr="00B730A9">
        <w:rPr>
          <w:rFonts w:ascii="Arial" w:hAnsi="Arial" w:cs="Arial"/>
          <w:sz w:val="24"/>
          <w:szCs w:val="24"/>
        </w:rPr>
        <w:t>Historically, actual expenditures under the Cooperative Fire Services Agreement have never reached the annual not-to-exceed (NTE) amount. On average, costs have remained 10.74% below NTE, demonstrating efficient contract utilization and strong fiscal control.</w:t>
      </w:r>
    </w:p>
    <w:p w14:paraId="345DAF66" w14:textId="77777777" w:rsidR="00B730A9" w:rsidRPr="00B730A9" w:rsidRDefault="00B730A9" w:rsidP="00B730A9">
      <w:pPr>
        <w:rPr>
          <w:rFonts w:ascii="Arial" w:hAnsi="Arial" w:cs="Arial"/>
          <w:sz w:val="24"/>
          <w:szCs w:val="24"/>
        </w:rPr>
      </w:pPr>
      <w:r w:rsidRPr="00B730A9">
        <w:rPr>
          <w:rFonts w:ascii="Arial" w:hAnsi="Arial" w:cs="Arial"/>
          <w:sz w:val="24"/>
          <w:szCs w:val="24"/>
        </w:rPr>
        <w:t>Under the current contract structure, the NTE amount increases approximately 5% annually, while CPCSD general revenues grow at approximately 4% annually, creating long-term fiscal pressure requiring proactive planning.</w:t>
      </w:r>
    </w:p>
    <w:p w14:paraId="091EAB08" w14:textId="77777777" w:rsidR="00B730A9" w:rsidRPr="00B730A9" w:rsidRDefault="00B730A9" w:rsidP="00B730A9">
      <w:pPr>
        <w:rPr>
          <w:rFonts w:ascii="Arial" w:hAnsi="Arial" w:cs="Arial"/>
          <w:sz w:val="24"/>
          <w:szCs w:val="24"/>
        </w:rPr>
      </w:pPr>
      <w:r w:rsidRPr="00B730A9">
        <w:rPr>
          <w:rFonts w:ascii="Arial" w:hAnsi="Arial" w:cs="Arial"/>
          <w:sz w:val="24"/>
          <w:szCs w:val="24"/>
        </w:rPr>
        <w:t>CPCSD’s fire and EMS services operate from two stations:</w:t>
      </w:r>
    </w:p>
    <w:p w14:paraId="7894169D" w14:textId="77777777" w:rsidR="00B730A9" w:rsidRPr="00B730A9" w:rsidRDefault="00B730A9" w:rsidP="00B730A9">
      <w:pPr>
        <w:rPr>
          <w:rFonts w:ascii="Arial" w:hAnsi="Arial" w:cs="Arial"/>
          <w:sz w:val="24"/>
          <w:szCs w:val="24"/>
        </w:rPr>
      </w:pPr>
      <w:r w:rsidRPr="00B730A9">
        <w:rPr>
          <w:rFonts w:ascii="Arial" w:hAnsi="Arial" w:cs="Arial"/>
          <w:sz w:val="24"/>
          <w:szCs w:val="24"/>
        </w:rPr>
        <w:t>Station 89</w:t>
      </w:r>
    </w:p>
    <w:p w14:paraId="64347487" w14:textId="77777777" w:rsidR="00B730A9" w:rsidRPr="00B730A9" w:rsidRDefault="00B730A9" w:rsidP="00B730A9">
      <w:pPr>
        <w:numPr>
          <w:ilvl w:val="0"/>
          <w:numId w:val="21"/>
        </w:numPr>
        <w:rPr>
          <w:rFonts w:ascii="Arial" w:hAnsi="Arial" w:cs="Arial"/>
          <w:sz w:val="24"/>
          <w:szCs w:val="24"/>
        </w:rPr>
      </w:pPr>
      <w:r w:rsidRPr="00B730A9">
        <w:rPr>
          <w:rFonts w:ascii="Arial" w:hAnsi="Arial" w:cs="Arial"/>
          <w:sz w:val="24"/>
          <w:szCs w:val="24"/>
        </w:rPr>
        <w:t>Regularly updated</w:t>
      </w:r>
    </w:p>
    <w:p w14:paraId="4B6743AC" w14:textId="77777777" w:rsidR="00B730A9" w:rsidRPr="00B730A9" w:rsidRDefault="00B730A9" w:rsidP="00B730A9">
      <w:pPr>
        <w:numPr>
          <w:ilvl w:val="0"/>
          <w:numId w:val="21"/>
        </w:numPr>
        <w:rPr>
          <w:rFonts w:ascii="Arial" w:hAnsi="Arial" w:cs="Arial"/>
          <w:sz w:val="24"/>
          <w:szCs w:val="24"/>
        </w:rPr>
      </w:pPr>
      <w:r w:rsidRPr="00B730A9">
        <w:rPr>
          <w:rFonts w:ascii="Arial" w:hAnsi="Arial" w:cs="Arial"/>
          <w:sz w:val="24"/>
          <w:szCs w:val="24"/>
        </w:rPr>
        <w:t>Functionally sound</w:t>
      </w:r>
    </w:p>
    <w:p w14:paraId="539BF526" w14:textId="77777777" w:rsidR="00B730A9" w:rsidRPr="00B730A9" w:rsidRDefault="00B730A9" w:rsidP="00B730A9">
      <w:pPr>
        <w:numPr>
          <w:ilvl w:val="0"/>
          <w:numId w:val="21"/>
        </w:numPr>
        <w:rPr>
          <w:rFonts w:ascii="Arial" w:hAnsi="Arial" w:cs="Arial"/>
          <w:sz w:val="24"/>
          <w:szCs w:val="24"/>
        </w:rPr>
      </w:pPr>
      <w:r w:rsidRPr="00B730A9">
        <w:rPr>
          <w:rFonts w:ascii="Arial" w:hAnsi="Arial" w:cs="Arial"/>
          <w:sz w:val="24"/>
          <w:szCs w:val="24"/>
        </w:rPr>
        <w:t>Capable of long-term service with ongoing modernization</w:t>
      </w:r>
    </w:p>
    <w:p w14:paraId="2118A094" w14:textId="77777777" w:rsidR="00B730A9" w:rsidRPr="00B730A9" w:rsidRDefault="00B730A9" w:rsidP="00B730A9">
      <w:pPr>
        <w:rPr>
          <w:rFonts w:ascii="Arial" w:hAnsi="Arial" w:cs="Arial"/>
          <w:sz w:val="24"/>
          <w:szCs w:val="24"/>
        </w:rPr>
      </w:pPr>
      <w:r w:rsidRPr="00B730A9">
        <w:rPr>
          <w:rFonts w:ascii="Arial" w:hAnsi="Arial" w:cs="Arial"/>
          <w:sz w:val="24"/>
          <w:szCs w:val="24"/>
        </w:rPr>
        <w:t>Station 88</w:t>
      </w:r>
    </w:p>
    <w:p w14:paraId="48D50536" w14:textId="77777777" w:rsidR="00B730A9" w:rsidRPr="00B730A9" w:rsidRDefault="00B730A9" w:rsidP="00B730A9">
      <w:pPr>
        <w:numPr>
          <w:ilvl w:val="0"/>
          <w:numId w:val="22"/>
        </w:numPr>
        <w:rPr>
          <w:rFonts w:ascii="Arial" w:hAnsi="Arial" w:cs="Arial"/>
          <w:sz w:val="24"/>
          <w:szCs w:val="24"/>
        </w:rPr>
      </w:pPr>
      <w:r w:rsidRPr="00B730A9">
        <w:rPr>
          <w:rFonts w:ascii="Arial" w:hAnsi="Arial" w:cs="Arial"/>
          <w:sz w:val="24"/>
          <w:szCs w:val="24"/>
        </w:rPr>
        <w:t>Built originally as a volunteer fire station</w:t>
      </w:r>
    </w:p>
    <w:p w14:paraId="2F35D258" w14:textId="77777777" w:rsidR="00B730A9" w:rsidRPr="00B730A9" w:rsidRDefault="00B730A9" w:rsidP="00B730A9">
      <w:pPr>
        <w:numPr>
          <w:ilvl w:val="0"/>
          <w:numId w:val="22"/>
        </w:numPr>
        <w:rPr>
          <w:rFonts w:ascii="Arial" w:hAnsi="Arial" w:cs="Arial"/>
          <w:sz w:val="24"/>
          <w:szCs w:val="24"/>
        </w:rPr>
      </w:pPr>
      <w:r w:rsidRPr="00B730A9">
        <w:rPr>
          <w:rFonts w:ascii="Arial" w:hAnsi="Arial" w:cs="Arial"/>
          <w:sz w:val="24"/>
          <w:szCs w:val="24"/>
        </w:rPr>
        <w:t>Extremely small parcel with no expansion capability</w:t>
      </w:r>
    </w:p>
    <w:p w14:paraId="3ED338C2" w14:textId="77777777" w:rsidR="00B730A9" w:rsidRPr="00B730A9" w:rsidRDefault="00B730A9" w:rsidP="00B730A9">
      <w:pPr>
        <w:numPr>
          <w:ilvl w:val="0"/>
          <w:numId w:val="22"/>
        </w:numPr>
        <w:rPr>
          <w:rFonts w:ascii="Arial" w:hAnsi="Arial" w:cs="Arial"/>
          <w:sz w:val="24"/>
          <w:szCs w:val="24"/>
        </w:rPr>
      </w:pPr>
      <w:r w:rsidRPr="00B730A9">
        <w:rPr>
          <w:rFonts w:ascii="Arial" w:hAnsi="Arial" w:cs="Arial"/>
          <w:sz w:val="24"/>
          <w:szCs w:val="24"/>
        </w:rPr>
        <w:t>Well-maintained but limited as a long-term facility</w:t>
      </w:r>
    </w:p>
    <w:p w14:paraId="48354C8F" w14:textId="77777777" w:rsidR="00B730A9" w:rsidRPr="00B730A9" w:rsidRDefault="00B730A9" w:rsidP="00B730A9">
      <w:pPr>
        <w:numPr>
          <w:ilvl w:val="0"/>
          <w:numId w:val="22"/>
        </w:numPr>
        <w:rPr>
          <w:rFonts w:ascii="Arial" w:hAnsi="Arial" w:cs="Arial"/>
          <w:sz w:val="24"/>
          <w:szCs w:val="24"/>
        </w:rPr>
      </w:pPr>
      <w:r w:rsidRPr="00B730A9">
        <w:rPr>
          <w:rFonts w:ascii="Arial" w:hAnsi="Arial" w:cs="Arial"/>
          <w:sz w:val="24"/>
          <w:szCs w:val="24"/>
        </w:rPr>
        <w:t xml:space="preserve">Replacement should be considered when future funding or regional partnerships </w:t>
      </w:r>
      <w:proofErr w:type="gramStart"/>
      <w:r w:rsidRPr="00B730A9">
        <w:rPr>
          <w:rFonts w:ascii="Arial" w:hAnsi="Arial" w:cs="Arial"/>
          <w:sz w:val="24"/>
          <w:szCs w:val="24"/>
        </w:rPr>
        <w:t>permit</w:t>
      </w:r>
      <w:proofErr w:type="gramEnd"/>
    </w:p>
    <w:p w14:paraId="3FC6DADF" w14:textId="77777777" w:rsidR="00B730A9" w:rsidRPr="00B730A9" w:rsidRDefault="00B730A9" w:rsidP="00B730A9">
      <w:pPr>
        <w:rPr>
          <w:rFonts w:ascii="Arial" w:hAnsi="Arial" w:cs="Arial"/>
          <w:sz w:val="24"/>
          <w:szCs w:val="24"/>
        </w:rPr>
      </w:pPr>
      <w:r w:rsidRPr="00B730A9">
        <w:rPr>
          <w:rFonts w:ascii="Arial" w:hAnsi="Arial" w:cs="Arial"/>
          <w:sz w:val="24"/>
          <w:szCs w:val="24"/>
        </w:rPr>
        <w:t xml:space="preserve">With </w:t>
      </w:r>
      <w:proofErr w:type="gramStart"/>
      <w:r w:rsidRPr="00B730A9">
        <w:rPr>
          <w:rFonts w:ascii="Arial" w:hAnsi="Arial" w:cs="Arial"/>
          <w:sz w:val="24"/>
          <w:szCs w:val="24"/>
        </w:rPr>
        <w:t>audits completed</w:t>
      </w:r>
      <w:proofErr w:type="gramEnd"/>
      <w:r w:rsidRPr="00B730A9">
        <w:rPr>
          <w:rFonts w:ascii="Arial" w:hAnsi="Arial" w:cs="Arial"/>
          <w:sz w:val="24"/>
          <w:szCs w:val="24"/>
        </w:rPr>
        <w:t xml:space="preserve"> and finances clarified, CPCSD </w:t>
      </w:r>
      <w:proofErr w:type="gramStart"/>
      <w:r w:rsidRPr="00B730A9">
        <w:rPr>
          <w:rFonts w:ascii="Arial" w:hAnsi="Arial" w:cs="Arial"/>
          <w:sz w:val="24"/>
          <w:szCs w:val="24"/>
        </w:rPr>
        <w:t>is now in a position to</w:t>
      </w:r>
      <w:proofErr w:type="gramEnd"/>
      <w:r w:rsidRPr="00B730A9">
        <w:rPr>
          <w:rFonts w:ascii="Arial" w:hAnsi="Arial" w:cs="Arial"/>
          <w:sz w:val="24"/>
          <w:szCs w:val="24"/>
        </w:rPr>
        <w:t xml:space="preserve"> evaluate long-term service delivery models based on accurate data and strategic priorities.</w:t>
      </w:r>
    </w:p>
    <w:p w14:paraId="4AC77D72" w14:textId="77777777" w:rsidR="00B730A9" w:rsidRPr="00B730A9" w:rsidRDefault="00000000" w:rsidP="00B730A9">
      <w:pPr>
        <w:rPr>
          <w:rFonts w:ascii="Arial" w:hAnsi="Arial" w:cs="Arial"/>
          <w:sz w:val="24"/>
          <w:szCs w:val="24"/>
        </w:rPr>
      </w:pPr>
      <w:r>
        <w:rPr>
          <w:rFonts w:ascii="Arial" w:hAnsi="Arial" w:cs="Arial"/>
          <w:sz w:val="24"/>
          <w:szCs w:val="24"/>
        </w:rPr>
        <w:pict w14:anchorId="08CD9C2B">
          <v:rect id="_x0000_i1026" style="width:0;height:1.5pt" o:hralign="center" o:hrstd="t" o:hr="t" fillcolor="#a0a0a0" stroked="f"/>
        </w:pict>
      </w:r>
    </w:p>
    <w:p w14:paraId="23A446B7" w14:textId="77777777" w:rsidR="00B730A9" w:rsidRPr="00B730A9" w:rsidRDefault="00B730A9" w:rsidP="00B730A9">
      <w:pPr>
        <w:rPr>
          <w:rFonts w:ascii="Arial" w:hAnsi="Arial" w:cs="Arial"/>
          <w:b/>
          <w:bCs/>
          <w:sz w:val="24"/>
          <w:szCs w:val="24"/>
        </w:rPr>
      </w:pPr>
      <w:r w:rsidRPr="00B730A9">
        <w:rPr>
          <w:rFonts w:ascii="Arial" w:hAnsi="Arial" w:cs="Arial"/>
          <w:b/>
          <w:bCs/>
          <w:sz w:val="24"/>
          <w:szCs w:val="24"/>
        </w:rPr>
        <w:t>Financial Trends &amp; Key Assumptions (Revised Narrative with Tables)</w:t>
      </w:r>
    </w:p>
    <w:p w14:paraId="70398F61"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 xml:space="preserve">CPCSD’s long-term financial outlook is influenced by the difference between revenue growth and contract cost escalation. The District’s general revenues grow at approximately 4 percent annually, providing steady but moderate fiscal capacity. In contrast, the CAL FIRE Cooperative Fire Services Agreement includes a fixed 5 percent annual increase to the not-to-exceed (NTE) amount, regardless of actual spending. Historically, CPCSD </w:t>
      </w:r>
      <w:proofErr w:type="gramStart"/>
      <w:r w:rsidRPr="00B730A9">
        <w:rPr>
          <w:rFonts w:ascii="Arial" w:hAnsi="Arial" w:cs="Arial"/>
          <w:sz w:val="24"/>
          <w:szCs w:val="24"/>
        </w:rPr>
        <w:t>has operated</w:t>
      </w:r>
      <w:proofErr w:type="gramEnd"/>
      <w:r w:rsidRPr="00B730A9">
        <w:rPr>
          <w:rFonts w:ascii="Arial" w:hAnsi="Arial" w:cs="Arial"/>
          <w:sz w:val="24"/>
          <w:szCs w:val="24"/>
        </w:rPr>
        <w:t xml:space="preserve"> 10.74 percent below the NTE ceiling, but even with this </w:t>
      </w:r>
      <w:r w:rsidRPr="00B730A9">
        <w:rPr>
          <w:rFonts w:ascii="Arial" w:hAnsi="Arial" w:cs="Arial"/>
          <w:sz w:val="24"/>
          <w:szCs w:val="24"/>
        </w:rPr>
        <w:lastRenderedPageBreak/>
        <w:t>underrun, contract growth trends exceed the District’s revenue growth rate, creating long-term structural pressure.</w:t>
      </w:r>
    </w:p>
    <w:p w14:paraId="6B3E5F37"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The following table displays the projected NTE amounts over the next five fiscal years based on the contract’s 5 percent annual inflationary factor:</w:t>
      </w:r>
    </w:p>
    <w:p w14:paraId="52D7BF3C"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Five-Year NTE Projection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9"/>
        <w:gridCol w:w="1277"/>
      </w:tblGrid>
      <w:tr w:rsidR="00B730A9" w:rsidRPr="00B730A9" w14:paraId="0993FE24" w14:textId="77777777">
        <w:trPr>
          <w:tblHeader/>
          <w:tblCellSpacing w:w="15" w:type="dxa"/>
        </w:trPr>
        <w:tc>
          <w:tcPr>
            <w:tcW w:w="0" w:type="auto"/>
            <w:vAlign w:val="center"/>
            <w:hideMark/>
          </w:tcPr>
          <w:p w14:paraId="39D03D2F"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Fiscal Year</w:t>
            </w:r>
          </w:p>
        </w:tc>
        <w:tc>
          <w:tcPr>
            <w:tcW w:w="0" w:type="auto"/>
            <w:vAlign w:val="center"/>
            <w:hideMark/>
          </w:tcPr>
          <w:p w14:paraId="04C80C7E"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NTE Cost</w:t>
            </w:r>
          </w:p>
        </w:tc>
      </w:tr>
      <w:tr w:rsidR="00B730A9" w:rsidRPr="00B730A9" w14:paraId="2990D4BA" w14:textId="77777777">
        <w:trPr>
          <w:tblCellSpacing w:w="15" w:type="dxa"/>
        </w:trPr>
        <w:tc>
          <w:tcPr>
            <w:tcW w:w="0" w:type="auto"/>
            <w:vAlign w:val="center"/>
            <w:hideMark/>
          </w:tcPr>
          <w:p w14:paraId="0D895FAE"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FY25/26</w:t>
            </w:r>
          </w:p>
        </w:tc>
        <w:tc>
          <w:tcPr>
            <w:tcW w:w="0" w:type="auto"/>
            <w:vAlign w:val="center"/>
            <w:hideMark/>
          </w:tcPr>
          <w:p w14:paraId="6A285D51"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$3,582,713</w:t>
            </w:r>
          </w:p>
        </w:tc>
      </w:tr>
      <w:tr w:rsidR="00B730A9" w:rsidRPr="00B730A9" w14:paraId="577AB210" w14:textId="77777777">
        <w:trPr>
          <w:tblCellSpacing w:w="15" w:type="dxa"/>
        </w:trPr>
        <w:tc>
          <w:tcPr>
            <w:tcW w:w="0" w:type="auto"/>
            <w:vAlign w:val="center"/>
            <w:hideMark/>
          </w:tcPr>
          <w:p w14:paraId="343DB76B"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FY26/27</w:t>
            </w:r>
          </w:p>
        </w:tc>
        <w:tc>
          <w:tcPr>
            <w:tcW w:w="0" w:type="auto"/>
            <w:vAlign w:val="center"/>
            <w:hideMark/>
          </w:tcPr>
          <w:p w14:paraId="3EB2412A"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$3,761,848</w:t>
            </w:r>
          </w:p>
        </w:tc>
      </w:tr>
      <w:tr w:rsidR="00B730A9" w:rsidRPr="00B730A9" w14:paraId="580682B2" w14:textId="77777777">
        <w:trPr>
          <w:tblCellSpacing w:w="15" w:type="dxa"/>
        </w:trPr>
        <w:tc>
          <w:tcPr>
            <w:tcW w:w="0" w:type="auto"/>
            <w:vAlign w:val="center"/>
            <w:hideMark/>
          </w:tcPr>
          <w:p w14:paraId="190DE66F"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FY27/28</w:t>
            </w:r>
          </w:p>
        </w:tc>
        <w:tc>
          <w:tcPr>
            <w:tcW w:w="0" w:type="auto"/>
            <w:vAlign w:val="center"/>
            <w:hideMark/>
          </w:tcPr>
          <w:p w14:paraId="454DE2E7"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$3,949,941</w:t>
            </w:r>
          </w:p>
        </w:tc>
      </w:tr>
      <w:tr w:rsidR="00B730A9" w:rsidRPr="00B730A9" w14:paraId="5428ABA2" w14:textId="77777777">
        <w:trPr>
          <w:tblCellSpacing w:w="15" w:type="dxa"/>
        </w:trPr>
        <w:tc>
          <w:tcPr>
            <w:tcW w:w="0" w:type="auto"/>
            <w:vAlign w:val="center"/>
            <w:hideMark/>
          </w:tcPr>
          <w:p w14:paraId="0CD0CB25"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FY28/29</w:t>
            </w:r>
          </w:p>
        </w:tc>
        <w:tc>
          <w:tcPr>
            <w:tcW w:w="0" w:type="auto"/>
            <w:vAlign w:val="center"/>
            <w:hideMark/>
          </w:tcPr>
          <w:p w14:paraId="410E142C"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$4,147,438</w:t>
            </w:r>
          </w:p>
        </w:tc>
      </w:tr>
      <w:tr w:rsidR="00B730A9" w:rsidRPr="00B730A9" w14:paraId="49640525" w14:textId="77777777">
        <w:trPr>
          <w:tblCellSpacing w:w="15" w:type="dxa"/>
        </w:trPr>
        <w:tc>
          <w:tcPr>
            <w:tcW w:w="0" w:type="auto"/>
            <w:vAlign w:val="center"/>
            <w:hideMark/>
          </w:tcPr>
          <w:p w14:paraId="374D42EA"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FY29/30</w:t>
            </w:r>
          </w:p>
        </w:tc>
        <w:tc>
          <w:tcPr>
            <w:tcW w:w="0" w:type="auto"/>
            <w:vAlign w:val="center"/>
            <w:hideMark/>
          </w:tcPr>
          <w:p w14:paraId="2A0CD56A"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$4,354,810</w:t>
            </w:r>
          </w:p>
        </w:tc>
      </w:tr>
    </w:tbl>
    <w:p w14:paraId="1D263AC7"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Applying the District’s long-term average underrun of 10.74 percent provides a more realistic estimate of actual expenditures:</w:t>
      </w:r>
    </w:p>
    <w:p w14:paraId="5EA9B211"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Adjusted Costs Using 10.74% Underrun Trend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9"/>
        <w:gridCol w:w="1570"/>
      </w:tblGrid>
      <w:tr w:rsidR="00B730A9" w:rsidRPr="00B730A9" w14:paraId="0710119F" w14:textId="77777777">
        <w:trPr>
          <w:tblHeader/>
          <w:tblCellSpacing w:w="15" w:type="dxa"/>
        </w:trPr>
        <w:tc>
          <w:tcPr>
            <w:tcW w:w="0" w:type="auto"/>
            <w:vAlign w:val="center"/>
            <w:hideMark/>
          </w:tcPr>
          <w:p w14:paraId="2F2124D9"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Fiscal Year</w:t>
            </w:r>
          </w:p>
        </w:tc>
        <w:tc>
          <w:tcPr>
            <w:tcW w:w="0" w:type="auto"/>
            <w:vAlign w:val="center"/>
            <w:hideMark/>
          </w:tcPr>
          <w:p w14:paraId="258F572D"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Adjusted Cost</w:t>
            </w:r>
          </w:p>
        </w:tc>
      </w:tr>
      <w:tr w:rsidR="00B730A9" w:rsidRPr="00B730A9" w14:paraId="4C7F60B3" w14:textId="77777777">
        <w:trPr>
          <w:tblCellSpacing w:w="15" w:type="dxa"/>
        </w:trPr>
        <w:tc>
          <w:tcPr>
            <w:tcW w:w="0" w:type="auto"/>
            <w:vAlign w:val="center"/>
            <w:hideMark/>
          </w:tcPr>
          <w:p w14:paraId="0E80C40D"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FY25/26</w:t>
            </w:r>
          </w:p>
        </w:tc>
        <w:tc>
          <w:tcPr>
            <w:tcW w:w="0" w:type="auto"/>
            <w:vAlign w:val="center"/>
            <w:hideMark/>
          </w:tcPr>
          <w:p w14:paraId="7CEDDE8A"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$3,197,930</w:t>
            </w:r>
          </w:p>
        </w:tc>
      </w:tr>
      <w:tr w:rsidR="00B730A9" w:rsidRPr="00B730A9" w14:paraId="799EC2BC" w14:textId="77777777">
        <w:trPr>
          <w:tblCellSpacing w:w="15" w:type="dxa"/>
        </w:trPr>
        <w:tc>
          <w:tcPr>
            <w:tcW w:w="0" w:type="auto"/>
            <w:vAlign w:val="center"/>
            <w:hideMark/>
          </w:tcPr>
          <w:p w14:paraId="4DAD8393"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FY26/27</w:t>
            </w:r>
          </w:p>
        </w:tc>
        <w:tc>
          <w:tcPr>
            <w:tcW w:w="0" w:type="auto"/>
            <w:vAlign w:val="center"/>
            <w:hideMark/>
          </w:tcPr>
          <w:p w14:paraId="149D825C"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$3,357,826</w:t>
            </w:r>
          </w:p>
        </w:tc>
      </w:tr>
      <w:tr w:rsidR="00B730A9" w:rsidRPr="00B730A9" w14:paraId="45D5FE21" w14:textId="77777777">
        <w:trPr>
          <w:tblCellSpacing w:w="15" w:type="dxa"/>
        </w:trPr>
        <w:tc>
          <w:tcPr>
            <w:tcW w:w="0" w:type="auto"/>
            <w:vAlign w:val="center"/>
            <w:hideMark/>
          </w:tcPr>
          <w:p w14:paraId="5AA192CB"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FY27/28</w:t>
            </w:r>
          </w:p>
        </w:tc>
        <w:tc>
          <w:tcPr>
            <w:tcW w:w="0" w:type="auto"/>
            <w:vAlign w:val="center"/>
            <w:hideMark/>
          </w:tcPr>
          <w:p w14:paraId="03895030"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$3,525,717</w:t>
            </w:r>
          </w:p>
        </w:tc>
      </w:tr>
      <w:tr w:rsidR="00B730A9" w:rsidRPr="00B730A9" w14:paraId="453A5D1C" w14:textId="77777777">
        <w:trPr>
          <w:tblCellSpacing w:w="15" w:type="dxa"/>
        </w:trPr>
        <w:tc>
          <w:tcPr>
            <w:tcW w:w="0" w:type="auto"/>
            <w:vAlign w:val="center"/>
            <w:hideMark/>
          </w:tcPr>
          <w:p w14:paraId="3D8316C6"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FY28/29</w:t>
            </w:r>
          </w:p>
        </w:tc>
        <w:tc>
          <w:tcPr>
            <w:tcW w:w="0" w:type="auto"/>
            <w:vAlign w:val="center"/>
            <w:hideMark/>
          </w:tcPr>
          <w:p w14:paraId="690D7B26"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$3,702,003</w:t>
            </w:r>
          </w:p>
        </w:tc>
      </w:tr>
      <w:tr w:rsidR="00B730A9" w:rsidRPr="00B730A9" w14:paraId="2D40662C" w14:textId="77777777">
        <w:trPr>
          <w:tblCellSpacing w:w="15" w:type="dxa"/>
        </w:trPr>
        <w:tc>
          <w:tcPr>
            <w:tcW w:w="0" w:type="auto"/>
            <w:vAlign w:val="center"/>
            <w:hideMark/>
          </w:tcPr>
          <w:p w14:paraId="6B12E21F"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FY29/30</w:t>
            </w:r>
          </w:p>
        </w:tc>
        <w:tc>
          <w:tcPr>
            <w:tcW w:w="0" w:type="auto"/>
            <w:vAlign w:val="center"/>
            <w:hideMark/>
          </w:tcPr>
          <w:p w14:paraId="4E79AF21"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$3,887,103</w:t>
            </w:r>
          </w:p>
        </w:tc>
      </w:tr>
    </w:tbl>
    <w:p w14:paraId="1A9C7004"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In addition to contract costs, the District incurs approximately $500,000 annually for station operations, utilities, insurance, maintenance, and support services. Any plan involving construction of a new station would require significant capital investment, with preliminary cost estimates of approximately $16 million, inclusive of land acquisition, design, engineering, and construction.</w:t>
      </w:r>
    </w:p>
    <w:p w14:paraId="1F03EA93" w14:textId="77777777" w:rsidR="00B730A9" w:rsidRPr="00B730A9" w:rsidRDefault="00000000" w:rsidP="00B730A9">
      <w:pPr>
        <w:rPr>
          <w:rFonts w:ascii="Arial" w:hAnsi="Arial" w:cs="Arial"/>
          <w:sz w:val="24"/>
          <w:szCs w:val="24"/>
        </w:rPr>
      </w:pPr>
      <w:r>
        <w:rPr>
          <w:rFonts w:ascii="Arial" w:hAnsi="Arial" w:cs="Arial"/>
          <w:sz w:val="24"/>
          <w:szCs w:val="24"/>
        </w:rPr>
        <w:pict w14:anchorId="52ECCDCD">
          <v:rect id="_x0000_i1027" style="width:0;height:1.5pt" o:hralign="center" o:hrstd="t" o:hr="t" fillcolor="#a0a0a0" stroked="f"/>
        </w:pict>
      </w:r>
    </w:p>
    <w:p w14:paraId="71E332ED" w14:textId="77777777" w:rsidR="00B730A9" w:rsidRDefault="00B730A9" w:rsidP="00B730A9">
      <w:pPr>
        <w:rPr>
          <w:rFonts w:ascii="Arial" w:hAnsi="Arial" w:cs="Arial"/>
          <w:sz w:val="24"/>
          <w:szCs w:val="24"/>
        </w:rPr>
      </w:pPr>
    </w:p>
    <w:p w14:paraId="219A3462" w14:textId="77777777" w:rsidR="00B730A9" w:rsidRDefault="00B730A9" w:rsidP="00B730A9">
      <w:pPr>
        <w:rPr>
          <w:rFonts w:ascii="Arial" w:hAnsi="Arial" w:cs="Arial"/>
          <w:sz w:val="24"/>
          <w:szCs w:val="24"/>
        </w:rPr>
      </w:pPr>
    </w:p>
    <w:p w14:paraId="744ADEE5" w14:textId="34259A38" w:rsidR="00B730A9" w:rsidRPr="00B730A9" w:rsidRDefault="00B730A9" w:rsidP="00B730A9">
      <w:pPr>
        <w:rPr>
          <w:rFonts w:ascii="Arial" w:hAnsi="Arial" w:cs="Arial"/>
          <w:b/>
          <w:bCs/>
          <w:sz w:val="24"/>
          <w:szCs w:val="24"/>
        </w:rPr>
      </w:pPr>
      <w:r w:rsidRPr="00B730A9">
        <w:rPr>
          <w:rFonts w:ascii="Arial" w:hAnsi="Arial" w:cs="Arial"/>
          <w:b/>
          <w:bCs/>
          <w:sz w:val="24"/>
          <w:szCs w:val="24"/>
        </w:rPr>
        <w:t>Capital Infrastructure Needs</w:t>
      </w:r>
    </w:p>
    <w:p w14:paraId="7755DAB1" w14:textId="77777777" w:rsidR="00B730A9" w:rsidRPr="00B730A9" w:rsidRDefault="00B730A9" w:rsidP="00B730A9">
      <w:pPr>
        <w:rPr>
          <w:rFonts w:ascii="Arial" w:hAnsi="Arial" w:cs="Arial"/>
          <w:sz w:val="24"/>
          <w:szCs w:val="24"/>
        </w:rPr>
      </w:pPr>
      <w:r w:rsidRPr="00B730A9">
        <w:rPr>
          <w:rFonts w:ascii="Arial" w:hAnsi="Arial" w:cs="Arial"/>
          <w:sz w:val="24"/>
          <w:szCs w:val="24"/>
        </w:rPr>
        <w:lastRenderedPageBreak/>
        <w:t>Station 89</w:t>
      </w:r>
    </w:p>
    <w:p w14:paraId="33B3C0E5" w14:textId="77777777" w:rsidR="00B730A9" w:rsidRPr="00B730A9" w:rsidRDefault="00B730A9" w:rsidP="00B730A9">
      <w:pPr>
        <w:numPr>
          <w:ilvl w:val="0"/>
          <w:numId w:val="23"/>
        </w:numPr>
        <w:rPr>
          <w:rFonts w:ascii="Arial" w:hAnsi="Arial" w:cs="Arial"/>
          <w:sz w:val="24"/>
          <w:szCs w:val="24"/>
        </w:rPr>
      </w:pPr>
      <w:r w:rsidRPr="00B730A9">
        <w:rPr>
          <w:rFonts w:ascii="Arial" w:hAnsi="Arial" w:cs="Arial"/>
          <w:sz w:val="24"/>
          <w:szCs w:val="24"/>
        </w:rPr>
        <w:t>In good condition</w:t>
      </w:r>
    </w:p>
    <w:p w14:paraId="11FBF021" w14:textId="77777777" w:rsidR="00B730A9" w:rsidRPr="00B730A9" w:rsidRDefault="00B730A9" w:rsidP="00B730A9">
      <w:pPr>
        <w:numPr>
          <w:ilvl w:val="0"/>
          <w:numId w:val="23"/>
        </w:numPr>
        <w:rPr>
          <w:rFonts w:ascii="Arial" w:hAnsi="Arial" w:cs="Arial"/>
          <w:sz w:val="24"/>
          <w:szCs w:val="24"/>
        </w:rPr>
      </w:pPr>
      <w:r w:rsidRPr="00B730A9">
        <w:rPr>
          <w:rFonts w:ascii="Arial" w:hAnsi="Arial" w:cs="Arial"/>
          <w:sz w:val="24"/>
          <w:szCs w:val="24"/>
        </w:rPr>
        <w:t>Capable of serving long-term needs</w:t>
      </w:r>
    </w:p>
    <w:p w14:paraId="0937DACA" w14:textId="77777777" w:rsidR="00B730A9" w:rsidRPr="00B730A9" w:rsidRDefault="00B730A9" w:rsidP="00B730A9">
      <w:pPr>
        <w:rPr>
          <w:rFonts w:ascii="Arial" w:hAnsi="Arial" w:cs="Arial"/>
          <w:sz w:val="24"/>
          <w:szCs w:val="24"/>
        </w:rPr>
      </w:pPr>
      <w:r w:rsidRPr="00B730A9">
        <w:rPr>
          <w:rFonts w:ascii="Arial" w:hAnsi="Arial" w:cs="Arial"/>
          <w:sz w:val="24"/>
          <w:szCs w:val="24"/>
        </w:rPr>
        <w:t>Station 88</w:t>
      </w:r>
    </w:p>
    <w:p w14:paraId="3ED11EB8" w14:textId="77777777" w:rsidR="00B730A9" w:rsidRPr="00B730A9" w:rsidRDefault="00B730A9" w:rsidP="00B730A9">
      <w:pPr>
        <w:numPr>
          <w:ilvl w:val="0"/>
          <w:numId w:val="24"/>
        </w:numPr>
        <w:rPr>
          <w:rFonts w:ascii="Arial" w:hAnsi="Arial" w:cs="Arial"/>
          <w:sz w:val="24"/>
          <w:szCs w:val="24"/>
        </w:rPr>
      </w:pPr>
      <w:r w:rsidRPr="00B730A9">
        <w:rPr>
          <w:rFonts w:ascii="Arial" w:hAnsi="Arial" w:cs="Arial"/>
          <w:sz w:val="24"/>
          <w:szCs w:val="24"/>
        </w:rPr>
        <w:t>Parcel-constrained</w:t>
      </w:r>
    </w:p>
    <w:p w14:paraId="7794608B" w14:textId="77777777" w:rsidR="00B730A9" w:rsidRPr="00B730A9" w:rsidRDefault="00B730A9" w:rsidP="00B730A9">
      <w:pPr>
        <w:numPr>
          <w:ilvl w:val="0"/>
          <w:numId w:val="24"/>
        </w:numPr>
        <w:rPr>
          <w:rFonts w:ascii="Arial" w:hAnsi="Arial" w:cs="Arial"/>
          <w:sz w:val="24"/>
          <w:szCs w:val="24"/>
        </w:rPr>
      </w:pPr>
      <w:r w:rsidRPr="00B730A9">
        <w:rPr>
          <w:rFonts w:ascii="Arial" w:hAnsi="Arial" w:cs="Arial"/>
          <w:sz w:val="24"/>
          <w:szCs w:val="24"/>
        </w:rPr>
        <w:t>Modernization limited by site size</w:t>
      </w:r>
    </w:p>
    <w:p w14:paraId="12489D53" w14:textId="77777777" w:rsidR="00B730A9" w:rsidRPr="00B730A9" w:rsidRDefault="00B730A9" w:rsidP="00B730A9">
      <w:pPr>
        <w:numPr>
          <w:ilvl w:val="0"/>
          <w:numId w:val="24"/>
        </w:numPr>
        <w:rPr>
          <w:rFonts w:ascii="Arial" w:hAnsi="Arial" w:cs="Arial"/>
          <w:sz w:val="24"/>
          <w:szCs w:val="24"/>
        </w:rPr>
      </w:pPr>
      <w:r w:rsidRPr="00B730A9">
        <w:rPr>
          <w:rFonts w:ascii="Arial" w:hAnsi="Arial" w:cs="Arial"/>
          <w:sz w:val="24"/>
          <w:szCs w:val="24"/>
        </w:rPr>
        <w:t>Well-maintained but unsuitable for long-term expansion</w:t>
      </w:r>
    </w:p>
    <w:p w14:paraId="06C83121" w14:textId="77777777" w:rsidR="00B730A9" w:rsidRPr="00B730A9" w:rsidRDefault="00B730A9" w:rsidP="00B730A9">
      <w:pPr>
        <w:numPr>
          <w:ilvl w:val="0"/>
          <w:numId w:val="24"/>
        </w:numPr>
        <w:rPr>
          <w:rFonts w:ascii="Arial" w:hAnsi="Arial" w:cs="Arial"/>
          <w:sz w:val="24"/>
          <w:szCs w:val="24"/>
        </w:rPr>
      </w:pPr>
      <w:r w:rsidRPr="00B730A9">
        <w:rPr>
          <w:rFonts w:ascii="Arial" w:hAnsi="Arial" w:cs="Arial"/>
          <w:sz w:val="24"/>
          <w:szCs w:val="24"/>
        </w:rPr>
        <w:t xml:space="preserve">Replacement should be considered when growth, funding, or partnerships </w:t>
      </w:r>
      <w:proofErr w:type="gramStart"/>
      <w:r w:rsidRPr="00B730A9">
        <w:rPr>
          <w:rFonts w:ascii="Arial" w:hAnsi="Arial" w:cs="Arial"/>
          <w:sz w:val="24"/>
          <w:szCs w:val="24"/>
        </w:rPr>
        <w:t>align</w:t>
      </w:r>
      <w:proofErr w:type="gramEnd"/>
    </w:p>
    <w:p w14:paraId="49116666" w14:textId="77777777" w:rsidR="00B730A9" w:rsidRPr="00B730A9" w:rsidRDefault="00000000" w:rsidP="00B730A9">
      <w:pPr>
        <w:rPr>
          <w:rFonts w:ascii="Arial" w:hAnsi="Arial" w:cs="Arial"/>
          <w:sz w:val="24"/>
          <w:szCs w:val="24"/>
        </w:rPr>
      </w:pPr>
      <w:r>
        <w:rPr>
          <w:rFonts w:ascii="Arial" w:hAnsi="Arial" w:cs="Arial"/>
          <w:sz w:val="24"/>
          <w:szCs w:val="24"/>
        </w:rPr>
        <w:pict w14:anchorId="61A00371">
          <v:rect id="_x0000_i1028" style="width:0;height:1.5pt" o:hralign="center" o:hrstd="t" o:hr="t" fillcolor="#a0a0a0" stroked="f"/>
        </w:pict>
      </w:r>
    </w:p>
    <w:p w14:paraId="3B9245B9" w14:textId="17436FE0" w:rsidR="00B730A9" w:rsidRPr="00B730A9" w:rsidRDefault="00B730A9" w:rsidP="00B730A9">
      <w:pPr>
        <w:rPr>
          <w:rFonts w:ascii="Arial" w:hAnsi="Arial" w:cs="Arial"/>
          <w:b/>
          <w:bCs/>
          <w:sz w:val="24"/>
          <w:szCs w:val="24"/>
        </w:rPr>
      </w:pPr>
      <w:r w:rsidRPr="00B730A9">
        <w:rPr>
          <w:rFonts w:ascii="Arial" w:hAnsi="Arial" w:cs="Arial"/>
          <w:b/>
          <w:bCs/>
          <w:sz w:val="24"/>
          <w:szCs w:val="24"/>
        </w:rPr>
        <w:t>Scenario Evaluation</w:t>
      </w:r>
    </w:p>
    <w:p w14:paraId="7589AEE8" w14:textId="77777777" w:rsidR="00B730A9" w:rsidRPr="00B730A9" w:rsidRDefault="00B730A9" w:rsidP="00B730A9">
      <w:pPr>
        <w:rPr>
          <w:rFonts w:ascii="Arial" w:hAnsi="Arial" w:cs="Arial"/>
          <w:sz w:val="24"/>
          <w:szCs w:val="24"/>
        </w:rPr>
      </w:pPr>
      <w:r w:rsidRPr="00B730A9">
        <w:rPr>
          <w:rFonts w:ascii="Arial" w:hAnsi="Arial" w:cs="Arial"/>
          <w:sz w:val="24"/>
          <w:szCs w:val="24"/>
        </w:rPr>
        <w:t>CPCSD evaluated three models:</w:t>
      </w:r>
    </w:p>
    <w:p w14:paraId="3E07FF48" w14:textId="77777777" w:rsidR="00B730A9" w:rsidRPr="00B730A9" w:rsidRDefault="00B730A9" w:rsidP="00B730A9">
      <w:pPr>
        <w:numPr>
          <w:ilvl w:val="0"/>
          <w:numId w:val="25"/>
        </w:numPr>
        <w:rPr>
          <w:rFonts w:ascii="Arial" w:hAnsi="Arial" w:cs="Arial"/>
          <w:sz w:val="24"/>
          <w:szCs w:val="24"/>
        </w:rPr>
      </w:pPr>
      <w:r w:rsidRPr="00B730A9">
        <w:rPr>
          <w:rFonts w:ascii="Arial" w:hAnsi="Arial" w:cs="Arial"/>
          <w:sz w:val="24"/>
          <w:szCs w:val="24"/>
        </w:rPr>
        <w:t>Maintain two stations</w:t>
      </w:r>
    </w:p>
    <w:p w14:paraId="53D93084" w14:textId="77777777" w:rsidR="00B730A9" w:rsidRPr="00B730A9" w:rsidRDefault="00B730A9" w:rsidP="00B730A9">
      <w:pPr>
        <w:numPr>
          <w:ilvl w:val="0"/>
          <w:numId w:val="25"/>
        </w:numPr>
        <w:rPr>
          <w:rFonts w:ascii="Arial" w:hAnsi="Arial" w:cs="Arial"/>
          <w:sz w:val="24"/>
          <w:szCs w:val="24"/>
        </w:rPr>
      </w:pPr>
      <w:r w:rsidRPr="00B730A9">
        <w:rPr>
          <w:rFonts w:ascii="Arial" w:hAnsi="Arial" w:cs="Arial"/>
          <w:sz w:val="24"/>
          <w:szCs w:val="24"/>
        </w:rPr>
        <w:t>Operate a single station</w:t>
      </w:r>
    </w:p>
    <w:p w14:paraId="4E271D1B" w14:textId="77777777" w:rsidR="00B730A9" w:rsidRPr="00B730A9" w:rsidRDefault="00B730A9" w:rsidP="00B730A9">
      <w:pPr>
        <w:numPr>
          <w:ilvl w:val="0"/>
          <w:numId w:val="25"/>
        </w:numPr>
        <w:rPr>
          <w:rFonts w:ascii="Arial" w:hAnsi="Arial" w:cs="Arial"/>
          <w:sz w:val="24"/>
          <w:szCs w:val="24"/>
        </w:rPr>
      </w:pPr>
      <w:proofErr w:type="gramStart"/>
      <w:r w:rsidRPr="00B730A9">
        <w:rPr>
          <w:rFonts w:ascii="Arial" w:hAnsi="Arial" w:cs="Arial"/>
          <w:sz w:val="24"/>
          <w:szCs w:val="24"/>
        </w:rPr>
        <w:t>Pursue</w:t>
      </w:r>
      <w:proofErr w:type="gramEnd"/>
      <w:r w:rsidRPr="00B730A9">
        <w:rPr>
          <w:rFonts w:ascii="Arial" w:hAnsi="Arial" w:cs="Arial"/>
          <w:sz w:val="24"/>
          <w:szCs w:val="24"/>
        </w:rPr>
        <w:t xml:space="preserve"> a shared regional station</w:t>
      </w:r>
    </w:p>
    <w:p w14:paraId="4D9476E4" w14:textId="77777777" w:rsidR="00B730A9" w:rsidRPr="00B730A9" w:rsidRDefault="00000000" w:rsidP="00B730A9">
      <w:pPr>
        <w:rPr>
          <w:rFonts w:ascii="Arial" w:hAnsi="Arial" w:cs="Arial"/>
          <w:sz w:val="24"/>
          <w:szCs w:val="24"/>
        </w:rPr>
      </w:pPr>
      <w:r>
        <w:rPr>
          <w:rFonts w:ascii="Arial" w:hAnsi="Arial" w:cs="Arial"/>
          <w:sz w:val="24"/>
          <w:szCs w:val="24"/>
        </w:rPr>
        <w:pict w14:anchorId="52B0FB50">
          <v:rect id="_x0000_i1029" style="width:0;height:1.5pt" o:hralign="center" o:hrstd="t" o:hr="t" fillcolor="#a0a0a0" stroked="f"/>
        </w:pict>
      </w:r>
    </w:p>
    <w:p w14:paraId="53A1D9C0" w14:textId="77777777" w:rsidR="00B730A9" w:rsidRPr="00B730A9" w:rsidRDefault="00B730A9" w:rsidP="00B730A9">
      <w:pPr>
        <w:rPr>
          <w:rFonts w:ascii="Arial" w:hAnsi="Arial" w:cs="Arial"/>
          <w:b/>
          <w:bCs/>
          <w:sz w:val="24"/>
          <w:szCs w:val="24"/>
        </w:rPr>
      </w:pPr>
      <w:r w:rsidRPr="00B730A9">
        <w:rPr>
          <w:rFonts w:ascii="Arial" w:hAnsi="Arial" w:cs="Arial"/>
          <w:b/>
          <w:bCs/>
          <w:sz w:val="24"/>
          <w:szCs w:val="24"/>
        </w:rPr>
        <w:t>Scenario 1 — Maintain Two Stations (Status Quo, Modernized)</w:t>
      </w:r>
    </w:p>
    <w:p w14:paraId="032B7B30" w14:textId="77777777" w:rsidR="00B730A9" w:rsidRPr="00B730A9" w:rsidRDefault="00B730A9" w:rsidP="00B730A9">
      <w:pPr>
        <w:rPr>
          <w:rFonts w:ascii="Arial" w:hAnsi="Arial" w:cs="Arial"/>
          <w:color w:val="EE0000"/>
          <w:sz w:val="24"/>
          <w:szCs w:val="24"/>
        </w:rPr>
      </w:pPr>
      <w:r w:rsidRPr="00B730A9">
        <w:rPr>
          <w:rFonts w:ascii="Arial" w:hAnsi="Arial" w:cs="Arial"/>
          <w:color w:val="EE0000"/>
          <w:sz w:val="24"/>
          <w:szCs w:val="24"/>
        </w:rPr>
        <w:t>Recommended Scenario</w:t>
      </w:r>
    </w:p>
    <w:p w14:paraId="36218B26" w14:textId="77777777" w:rsidR="00B730A9" w:rsidRPr="00B730A9" w:rsidRDefault="00B730A9" w:rsidP="00B730A9">
      <w:pPr>
        <w:rPr>
          <w:rFonts w:ascii="Arial" w:hAnsi="Arial" w:cs="Arial"/>
          <w:sz w:val="24"/>
          <w:szCs w:val="24"/>
        </w:rPr>
      </w:pPr>
      <w:r w:rsidRPr="00B730A9">
        <w:rPr>
          <w:rFonts w:ascii="Arial" w:hAnsi="Arial" w:cs="Arial"/>
          <w:sz w:val="24"/>
          <w:szCs w:val="24"/>
        </w:rPr>
        <w:t>Operational Sustainability</w:t>
      </w:r>
    </w:p>
    <w:p w14:paraId="3FE3F8D0" w14:textId="77777777" w:rsidR="00B730A9" w:rsidRPr="00B730A9" w:rsidRDefault="00B730A9" w:rsidP="00B730A9">
      <w:pPr>
        <w:numPr>
          <w:ilvl w:val="0"/>
          <w:numId w:val="26"/>
        </w:numPr>
        <w:rPr>
          <w:rFonts w:ascii="Arial" w:hAnsi="Arial" w:cs="Arial"/>
          <w:sz w:val="24"/>
          <w:szCs w:val="24"/>
        </w:rPr>
      </w:pPr>
      <w:r w:rsidRPr="00B730A9">
        <w:rPr>
          <w:rFonts w:ascii="Arial" w:hAnsi="Arial" w:cs="Arial"/>
          <w:sz w:val="24"/>
          <w:szCs w:val="24"/>
        </w:rPr>
        <w:t>Best geographic coverage</w:t>
      </w:r>
    </w:p>
    <w:p w14:paraId="27CD2366" w14:textId="77777777" w:rsidR="00B730A9" w:rsidRPr="00B730A9" w:rsidRDefault="00B730A9" w:rsidP="00B730A9">
      <w:pPr>
        <w:numPr>
          <w:ilvl w:val="0"/>
          <w:numId w:val="26"/>
        </w:numPr>
        <w:rPr>
          <w:rFonts w:ascii="Arial" w:hAnsi="Arial" w:cs="Arial"/>
          <w:sz w:val="24"/>
          <w:szCs w:val="24"/>
        </w:rPr>
      </w:pPr>
      <w:r w:rsidRPr="00B730A9">
        <w:rPr>
          <w:rFonts w:ascii="Arial" w:hAnsi="Arial" w:cs="Arial"/>
          <w:sz w:val="24"/>
          <w:szCs w:val="24"/>
        </w:rPr>
        <w:t>Strong redundancy for concurrent and major incidents</w:t>
      </w:r>
    </w:p>
    <w:p w14:paraId="03D3BFBF" w14:textId="77777777" w:rsidR="00B730A9" w:rsidRPr="00B730A9" w:rsidRDefault="00B730A9" w:rsidP="00B730A9">
      <w:pPr>
        <w:numPr>
          <w:ilvl w:val="0"/>
          <w:numId w:val="26"/>
        </w:numPr>
        <w:rPr>
          <w:rFonts w:ascii="Arial" w:hAnsi="Arial" w:cs="Arial"/>
          <w:sz w:val="24"/>
          <w:szCs w:val="24"/>
        </w:rPr>
      </w:pPr>
      <w:r w:rsidRPr="00B730A9">
        <w:rPr>
          <w:rFonts w:ascii="Arial" w:hAnsi="Arial" w:cs="Arial"/>
          <w:sz w:val="24"/>
          <w:szCs w:val="24"/>
        </w:rPr>
        <w:t>Aligns with CAL FIRE operational requirements</w:t>
      </w:r>
    </w:p>
    <w:p w14:paraId="6D6FC4FF" w14:textId="77777777" w:rsidR="00B730A9" w:rsidRPr="00B730A9" w:rsidRDefault="00B730A9" w:rsidP="00B730A9">
      <w:pPr>
        <w:numPr>
          <w:ilvl w:val="0"/>
          <w:numId w:val="26"/>
        </w:numPr>
        <w:rPr>
          <w:rFonts w:ascii="Arial" w:hAnsi="Arial" w:cs="Arial"/>
          <w:sz w:val="24"/>
          <w:szCs w:val="24"/>
        </w:rPr>
      </w:pPr>
      <w:r w:rsidRPr="00B730A9">
        <w:rPr>
          <w:rFonts w:ascii="Arial" w:hAnsi="Arial" w:cs="Arial"/>
          <w:sz w:val="24"/>
          <w:szCs w:val="24"/>
        </w:rPr>
        <w:t>Most resilient and reliable model</w:t>
      </w:r>
    </w:p>
    <w:p w14:paraId="73E556D5" w14:textId="77777777" w:rsidR="00B730A9" w:rsidRPr="00B730A9" w:rsidRDefault="00B730A9" w:rsidP="00B730A9">
      <w:pPr>
        <w:rPr>
          <w:rFonts w:ascii="Arial" w:hAnsi="Arial" w:cs="Arial"/>
          <w:sz w:val="24"/>
          <w:szCs w:val="24"/>
        </w:rPr>
      </w:pPr>
      <w:r w:rsidRPr="00B730A9">
        <w:rPr>
          <w:rFonts w:ascii="Arial" w:hAnsi="Arial" w:cs="Arial"/>
          <w:sz w:val="24"/>
          <w:szCs w:val="24"/>
        </w:rPr>
        <w:t>Financial Observations</w:t>
      </w:r>
    </w:p>
    <w:p w14:paraId="40410E4F" w14:textId="77777777" w:rsidR="00B730A9" w:rsidRPr="00B730A9" w:rsidRDefault="00B730A9" w:rsidP="00B730A9">
      <w:pPr>
        <w:numPr>
          <w:ilvl w:val="0"/>
          <w:numId w:val="27"/>
        </w:numPr>
        <w:rPr>
          <w:rFonts w:ascii="Arial" w:hAnsi="Arial" w:cs="Arial"/>
          <w:sz w:val="24"/>
          <w:szCs w:val="24"/>
        </w:rPr>
      </w:pPr>
      <w:r w:rsidRPr="00B730A9">
        <w:rPr>
          <w:rFonts w:ascii="Arial" w:hAnsi="Arial" w:cs="Arial"/>
          <w:sz w:val="24"/>
          <w:szCs w:val="24"/>
        </w:rPr>
        <w:t>Contract growth (5%) outpaces District revenue growth (4%)</w:t>
      </w:r>
    </w:p>
    <w:p w14:paraId="1ACEB9F4" w14:textId="77777777" w:rsidR="00B730A9" w:rsidRPr="00B730A9" w:rsidRDefault="00B730A9" w:rsidP="00B730A9">
      <w:pPr>
        <w:numPr>
          <w:ilvl w:val="0"/>
          <w:numId w:val="27"/>
        </w:numPr>
        <w:rPr>
          <w:rFonts w:ascii="Arial" w:hAnsi="Arial" w:cs="Arial"/>
          <w:sz w:val="24"/>
          <w:szCs w:val="24"/>
        </w:rPr>
      </w:pPr>
      <w:r w:rsidRPr="00B730A9">
        <w:rPr>
          <w:rFonts w:ascii="Arial" w:hAnsi="Arial" w:cs="Arial"/>
          <w:sz w:val="24"/>
          <w:szCs w:val="24"/>
        </w:rPr>
        <w:t>Historical underrun helps mitigate pressure</w:t>
      </w:r>
    </w:p>
    <w:p w14:paraId="07C08389" w14:textId="77777777" w:rsidR="00B730A9" w:rsidRPr="00B730A9" w:rsidRDefault="00B730A9" w:rsidP="00B730A9">
      <w:pPr>
        <w:numPr>
          <w:ilvl w:val="0"/>
          <w:numId w:val="27"/>
        </w:numPr>
        <w:rPr>
          <w:rFonts w:ascii="Arial" w:hAnsi="Arial" w:cs="Arial"/>
          <w:sz w:val="24"/>
          <w:szCs w:val="24"/>
        </w:rPr>
      </w:pPr>
      <w:r w:rsidRPr="00B730A9">
        <w:rPr>
          <w:rFonts w:ascii="Arial" w:hAnsi="Arial" w:cs="Arial"/>
          <w:sz w:val="24"/>
          <w:szCs w:val="24"/>
        </w:rPr>
        <w:t>Long-term sustainability will require new revenue in future years</w:t>
      </w:r>
    </w:p>
    <w:p w14:paraId="7F82D397" w14:textId="77777777" w:rsidR="00B730A9" w:rsidRPr="00B730A9" w:rsidRDefault="00B730A9" w:rsidP="00B730A9">
      <w:pPr>
        <w:rPr>
          <w:rFonts w:ascii="Arial" w:hAnsi="Arial" w:cs="Arial"/>
          <w:sz w:val="24"/>
          <w:szCs w:val="24"/>
        </w:rPr>
      </w:pPr>
      <w:r w:rsidRPr="00B730A9">
        <w:rPr>
          <w:rFonts w:ascii="Arial" w:hAnsi="Arial" w:cs="Arial"/>
          <w:sz w:val="24"/>
          <w:szCs w:val="24"/>
        </w:rPr>
        <w:t>Scenario 1 Summary</w:t>
      </w:r>
    </w:p>
    <w:p w14:paraId="58FC4A3B" w14:textId="77777777" w:rsidR="00B730A9" w:rsidRPr="00B730A9" w:rsidRDefault="00B730A9" w:rsidP="00B730A9">
      <w:pPr>
        <w:numPr>
          <w:ilvl w:val="0"/>
          <w:numId w:val="28"/>
        </w:numPr>
        <w:rPr>
          <w:rFonts w:ascii="Arial" w:hAnsi="Arial" w:cs="Arial"/>
          <w:sz w:val="24"/>
          <w:szCs w:val="24"/>
        </w:rPr>
      </w:pPr>
      <w:r w:rsidRPr="00B730A9">
        <w:rPr>
          <w:rFonts w:ascii="Arial" w:hAnsi="Arial" w:cs="Arial"/>
          <w:sz w:val="24"/>
          <w:szCs w:val="24"/>
        </w:rPr>
        <w:t>Operationally necessary</w:t>
      </w:r>
    </w:p>
    <w:p w14:paraId="61B8955E" w14:textId="77777777" w:rsidR="00B730A9" w:rsidRPr="00B730A9" w:rsidRDefault="00B730A9" w:rsidP="00B730A9">
      <w:pPr>
        <w:numPr>
          <w:ilvl w:val="0"/>
          <w:numId w:val="28"/>
        </w:numPr>
        <w:rPr>
          <w:rFonts w:ascii="Arial" w:hAnsi="Arial" w:cs="Arial"/>
          <w:sz w:val="24"/>
          <w:szCs w:val="24"/>
        </w:rPr>
      </w:pPr>
      <w:r w:rsidRPr="00B730A9">
        <w:rPr>
          <w:rFonts w:ascii="Arial" w:hAnsi="Arial" w:cs="Arial"/>
          <w:sz w:val="24"/>
          <w:szCs w:val="24"/>
        </w:rPr>
        <w:lastRenderedPageBreak/>
        <w:t>Financially manageable in short-term</w:t>
      </w:r>
    </w:p>
    <w:p w14:paraId="0147327C" w14:textId="77777777" w:rsidR="00B730A9" w:rsidRPr="00B730A9" w:rsidRDefault="00B730A9" w:rsidP="00B730A9">
      <w:pPr>
        <w:numPr>
          <w:ilvl w:val="0"/>
          <w:numId w:val="28"/>
        </w:numPr>
        <w:rPr>
          <w:rFonts w:ascii="Arial" w:hAnsi="Arial" w:cs="Arial"/>
          <w:sz w:val="24"/>
          <w:szCs w:val="24"/>
        </w:rPr>
      </w:pPr>
      <w:r w:rsidRPr="00B730A9">
        <w:rPr>
          <w:rFonts w:ascii="Arial" w:hAnsi="Arial" w:cs="Arial"/>
          <w:sz w:val="24"/>
          <w:szCs w:val="24"/>
        </w:rPr>
        <w:t>Long-term revenue strategy required</w:t>
      </w:r>
    </w:p>
    <w:p w14:paraId="236871C7" w14:textId="77777777" w:rsidR="00B730A9" w:rsidRPr="00B730A9" w:rsidRDefault="00000000" w:rsidP="00B730A9">
      <w:pPr>
        <w:rPr>
          <w:rFonts w:ascii="Arial" w:hAnsi="Arial" w:cs="Arial"/>
          <w:sz w:val="24"/>
          <w:szCs w:val="24"/>
        </w:rPr>
      </w:pPr>
      <w:r>
        <w:rPr>
          <w:rFonts w:ascii="Arial" w:hAnsi="Arial" w:cs="Arial"/>
          <w:sz w:val="24"/>
          <w:szCs w:val="24"/>
        </w:rPr>
        <w:pict w14:anchorId="6AA6102A">
          <v:rect id="_x0000_i1030" style="width:0;height:1.5pt" o:hralign="center" o:hrstd="t" o:hr="t" fillcolor="#a0a0a0" stroked="f"/>
        </w:pict>
      </w:r>
    </w:p>
    <w:p w14:paraId="78E191A5" w14:textId="77777777" w:rsidR="00B730A9" w:rsidRPr="00B730A9" w:rsidRDefault="00B730A9" w:rsidP="00B730A9">
      <w:pPr>
        <w:rPr>
          <w:rFonts w:ascii="Arial" w:hAnsi="Arial" w:cs="Arial"/>
          <w:b/>
          <w:bCs/>
          <w:sz w:val="24"/>
          <w:szCs w:val="24"/>
        </w:rPr>
      </w:pPr>
      <w:r w:rsidRPr="00B730A9">
        <w:rPr>
          <w:rFonts w:ascii="Arial" w:hAnsi="Arial" w:cs="Arial"/>
          <w:b/>
          <w:bCs/>
          <w:sz w:val="24"/>
          <w:szCs w:val="24"/>
        </w:rPr>
        <w:t>Scenario 2 — Consolidate to One Station (Single-Station Model)</w:t>
      </w:r>
    </w:p>
    <w:p w14:paraId="009D4EAF" w14:textId="77777777" w:rsidR="00B730A9" w:rsidRPr="00B730A9" w:rsidRDefault="00B730A9" w:rsidP="00B730A9">
      <w:pPr>
        <w:rPr>
          <w:rFonts w:ascii="Arial" w:hAnsi="Arial" w:cs="Arial"/>
          <w:color w:val="EE0000"/>
          <w:sz w:val="24"/>
          <w:szCs w:val="24"/>
        </w:rPr>
      </w:pPr>
      <w:r w:rsidRPr="00B730A9">
        <w:rPr>
          <w:rFonts w:ascii="Arial" w:hAnsi="Arial" w:cs="Arial"/>
          <w:color w:val="EE0000"/>
          <w:sz w:val="24"/>
          <w:szCs w:val="24"/>
        </w:rPr>
        <w:t>Not Recommended</w:t>
      </w:r>
    </w:p>
    <w:p w14:paraId="2DE04274" w14:textId="77777777" w:rsidR="00B730A9" w:rsidRPr="00B730A9" w:rsidRDefault="00B730A9" w:rsidP="00B730A9">
      <w:pPr>
        <w:rPr>
          <w:rFonts w:ascii="Arial" w:hAnsi="Arial" w:cs="Arial"/>
          <w:sz w:val="24"/>
          <w:szCs w:val="24"/>
        </w:rPr>
      </w:pPr>
      <w:r w:rsidRPr="00B730A9">
        <w:rPr>
          <w:rFonts w:ascii="Arial" w:hAnsi="Arial" w:cs="Arial"/>
          <w:sz w:val="24"/>
          <w:szCs w:val="24"/>
        </w:rPr>
        <w:t>Feasibility</w:t>
      </w:r>
    </w:p>
    <w:p w14:paraId="0F621C6F" w14:textId="77777777" w:rsidR="00B730A9" w:rsidRPr="00B730A9" w:rsidRDefault="00B730A9" w:rsidP="00B730A9">
      <w:pPr>
        <w:numPr>
          <w:ilvl w:val="0"/>
          <w:numId w:val="29"/>
        </w:numPr>
        <w:rPr>
          <w:rFonts w:ascii="Arial" w:hAnsi="Arial" w:cs="Arial"/>
          <w:sz w:val="24"/>
          <w:szCs w:val="24"/>
        </w:rPr>
      </w:pPr>
      <w:r w:rsidRPr="00B730A9">
        <w:rPr>
          <w:rFonts w:ascii="Arial" w:hAnsi="Arial" w:cs="Arial"/>
          <w:sz w:val="24"/>
          <w:szCs w:val="24"/>
        </w:rPr>
        <w:t>Not supported by the General Manager or CAL FIRE</w:t>
      </w:r>
    </w:p>
    <w:p w14:paraId="41E98775" w14:textId="77777777" w:rsidR="00B730A9" w:rsidRPr="00B730A9" w:rsidRDefault="00B730A9" w:rsidP="00B730A9">
      <w:pPr>
        <w:numPr>
          <w:ilvl w:val="0"/>
          <w:numId w:val="29"/>
        </w:numPr>
        <w:rPr>
          <w:rFonts w:ascii="Arial" w:hAnsi="Arial" w:cs="Arial"/>
          <w:sz w:val="24"/>
          <w:szCs w:val="24"/>
        </w:rPr>
      </w:pPr>
      <w:r w:rsidRPr="00B730A9">
        <w:rPr>
          <w:rFonts w:ascii="Arial" w:hAnsi="Arial" w:cs="Arial"/>
          <w:sz w:val="24"/>
          <w:szCs w:val="24"/>
        </w:rPr>
        <w:t>CAL FIRE may not authorize a one-station model</w:t>
      </w:r>
    </w:p>
    <w:p w14:paraId="36FE6D62" w14:textId="77777777" w:rsidR="00B730A9" w:rsidRPr="00B730A9" w:rsidRDefault="00B730A9" w:rsidP="00B730A9">
      <w:pPr>
        <w:numPr>
          <w:ilvl w:val="0"/>
          <w:numId w:val="29"/>
        </w:numPr>
        <w:rPr>
          <w:rFonts w:ascii="Arial" w:hAnsi="Arial" w:cs="Arial"/>
          <w:sz w:val="24"/>
          <w:szCs w:val="24"/>
        </w:rPr>
      </w:pPr>
      <w:r w:rsidRPr="00B730A9">
        <w:rPr>
          <w:rFonts w:ascii="Arial" w:hAnsi="Arial" w:cs="Arial"/>
          <w:sz w:val="24"/>
          <w:szCs w:val="24"/>
        </w:rPr>
        <w:t>Neither existing station can serve the entire district alone</w:t>
      </w:r>
    </w:p>
    <w:p w14:paraId="59B70A8A" w14:textId="77777777" w:rsidR="00B730A9" w:rsidRPr="00B730A9" w:rsidRDefault="00B730A9" w:rsidP="00B730A9">
      <w:pPr>
        <w:rPr>
          <w:rFonts w:ascii="Arial" w:hAnsi="Arial" w:cs="Arial"/>
          <w:sz w:val="24"/>
          <w:szCs w:val="24"/>
        </w:rPr>
      </w:pPr>
      <w:r w:rsidRPr="00B730A9">
        <w:rPr>
          <w:rFonts w:ascii="Arial" w:hAnsi="Arial" w:cs="Arial"/>
          <w:sz w:val="24"/>
          <w:szCs w:val="24"/>
        </w:rPr>
        <w:t>Operational Effects</w:t>
      </w:r>
    </w:p>
    <w:p w14:paraId="5E1C23FA" w14:textId="77777777" w:rsidR="00B730A9" w:rsidRPr="00B730A9" w:rsidRDefault="00B730A9" w:rsidP="00B730A9">
      <w:pPr>
        <w:numPr>
          <w:ilvl w:val="0"/>
          <w:numId w:val="30"/>
        </w:numPr>
        <w:rPr>
          <w:rFonts w:ascii="Arial" w:hAnsi="Arial" w:cs="Arial"/>
          <w:sz w:val="24"/>
          <w:szCs w:val="24"/>
        </w:rPr>
      </w:pPr>
      <w:r w:rsidRPr="00B730A9">
        <w:rPr>
          <w:rFonts w:ascii="Arial" w:hAnsi="Arial" w:cs="Arial"/>
          <w:sz w:val="24"/>
          <w:szCs w:val="24"/>
        </w:rPr>
        <w:t>Increased response times</w:t>
      </w:r>
    </w:p>
    <w:p w14:paraId="789D1179" w14:textId="77777777" w:rsidR="00B730A9" w:rsidRPr="00B730A9" w:rsidRDefault="00B730A9" w:rsidP="00B730A9">
      <w:pPr>
        <w:numPr>
          <w:ilvl w:val="0"/>
          <w:numId w:val="30"/>
        </w:numPr>
        <w:rPr>
          <w:rFonts w:ascii="Arial" w:hAnsi="Arial" w:cs="Arial"/>
          <w:sz w:val="24"/>
          <w:szCs w:val="24"/>
        </w:rPr>
      </w:pPr>
      <w:r w:rsidRPr="00B730A9">
        <w:rPr>
          <w:rFonts w:ascii="Arial" w:hAnsi="Arial" w:cs="Arial"/>
          <w:sz w:val="24"/>
          <w:szCs w:val="24"/>
        </w:rPr>
        <w:t>Reduced coverage</w:t>
      </w:r>
    </w:p>
    <w:p w14:paraId="3CB43F20" w14:textId="77777777" w:rsidR="00B730A9" w:rsidRPr="00B730A9" w:rsidRDefault="00B730A9" w:rsidP="00B730A9">
      <w:pPr>
        <w:numPr>
          <w:ilvl w:val="0"/>
          <w:numId w:val="30"/>
        </w:numPr>
        <w:rPr>
          <w:rFonts w:ascii="Arial" w:hAnsi="Arial" w:cs="Arial"/>
          <w:sz w:val="24"/>
          <w:szCs w:val="24"/>
        </w:rPr>
      </w:pPr>
      <w:r w:rsidRPr="00B730A9">
        <w:rPr>
          <w:rFonts w:ascii="Arial" w:hAnsi="Arial" w:cs="Arial"/>
          <w:sz w:val="24"/>
          <w:szCs w:val="24"/>
        </w:rPr>
        <w:t>No redundancy for concurrent incidents</w:t>
      </w:r>
    </w:p>
    <w:p w14:paraId="69E68551" w14:textId="77777777" w:rsidR="00B730A9" w:rsidRPr="00B730A9" w:rsidRDefault="00B730A9" w:rsidP="00B730A9">
      <w:pPr>
        <w:numPr>
          <w:ilvl w:val="0"/>
          <w:numId w:val="30"/>
        </w:numPr>
        <w:rPr>
          <w:rFonts w:ascii="Arial" w:hAnsi="Arial" w:cs="Arial"/>
          <w:sz w:val="24"/>
          <w:szCs w:val="24"/>
        </w:rPr>
      </w:pPr>
      <w:r w:rsidRPr="00B730A9">
        <w:rPr>
          <w:rFonts w:ascii="Arial" w:hAnsi="Arial" w:cs="Arial"/>
          <w:sz w:val="24"/>
          <w:szCs w:val="24"/>
        </w:rPr>
        <w:t xml:space="preserve">Impacts </w:t>
      </w:r>
      <w:proofErr w:type="gramStart"/>
      <w:r w:rsidRPr="00B730A9">
        <w:rPr>
          <w:rFonts w:ascii="Arial" w:hAnsi="Arial" w:cs="Arial"/>
          <w:sz w:val="24"/>
          <w:szCs w:val="24"/>
        </w:rPr>
        <w:t>to</w:t>
      </w:r>
      <w:proofErr w:type="gramEnd"/>
      <w:r w:rsidRPr="00B730A9">
        <w:rPr>
          <w:rFonts w:ascii="Arial" w:hAnsi="Arial" w:cs="Arial"/>
          <w:sz w:val="24"/>
          <w:szCs w:val="24"/>
        </w:rPr>
        <w:t xml:space="preserve"> surrounding agencies</w:t>
      </w:r>
    </w:p>
    <w:p w14:paraId="4B955455" w14:textId="77777777" w:rsidR="00B730A9" w:rsidRPr="00B730A9" w:rsidRDefault="00B730A9" w:rsidP="00B730A9">
      <w:pPr>
        <w:numPr>
          <w:ilvl w:val="0"/>
          <w:numId w:val="30"/>
        </w:numPr>
        <w:rPr>
          <w:rFonts w:ascii="Arial" w:hAnsi="Arial" w:cs="Arial"/>
          <w:sz w:val="24"/>
          <w:szCs w:val="24"/>
        </w:rPr>
      </w:pPr>
      <w:r w:rsidRPr="00B730A9">
        <w:rPr>
          <w:rFonts w:ascii="Arial" w:hAnsi="Arial" w:cs="Arial"/>
          <w:sz w:val="24"/>
          <w:szCs w:val="24"/>
        </w:rPr>
        <w:t>Potential ISO degradation</w:t>
      </w:r>
    </w:p>
    <w:p w14:paraId="3AD12DE6" w14:textId="77777777" w:rsidR="00B730A9" w:rsidRPr="00B730A9" w:rsidRDefault="00B730A9" w:rsidP="00B730A9">
      <w:pPr>
        <w:rPr>
          <w:rFonts w:ascii="Arial" w:hAnsi="Arial" w:cs="Arial"/>
          <w:sz w:val="24"/>
          <w:szCs w:val="24"/>
        </w:rPr>
      </w:pPr>
      <w:r w:rsidRPr="00B730A9">
        <w:rPr>
          <w:rFonts w:ascii="Arial" w:hAnsi="Arial" w:cs="Arial"/>
          <w:sz w:val="24"/>
          <w:szCs w:val="24"/>
        </w:rPr>
        <w:t>Capital Requirements</w:t>
      </w:r>
    </w:p>
    <w:p w14:paraId="05DAB569" w14:textId="77777777" w:rsidR="00B730A9" w:rsidRPr="00B730A9" w:rsidRDefault="00B730A9" w:rsidP="00B730A9">
      <w:pPr>
        <w:numPr>
          <w:ilvl w:val="0"/>
          <w:numId w:val="31"/>
        </w:numPr>
        <w:rPr>
          <w:rFonts w:ascii="Arial" w:hAnsi="Arial" w:cs="Arial"/>
          <w:sz w:val="24"/>
          <w:szCs w:val="24"/>
        </w:rPr>
      </w:pPr>
      <w:r w:rsidRPr="00B730A9">
        <w:rPr>
          <w:rFonts w:ascii="Arial" w:hAnsi="Arial" w:cs="Arial"/>
          <w:sz w:val="24"/>
          <w:szCs w:val="24"/>
        </w:rPr>
        <w:t>New centrally located station: ~$16 million</w:t>
      </w:r>
    </w:p>
    <w:p w14:paraId="326E435A" w14:textId="77777777" w:rsidR="00B730A9" w:rsidRPr="00B730A9" w:rsidRDefault="00B730A9" w:rsidP="00B730A9">
      <w:pPr>
        <w:numPr>
          <w:ilvl w:val="0"/>
          <w:numId w:val="31"/>
        </w:numPr>
        <w:rPr>
          <w:rFonts w:ascii="Arial" w:hAnsi="Arial" w:cs="Arial"/>
          <w:sz w:val="24"/>
          <w:szCs w:val="24"/>
        </w:rPr>
      </w:pPr>
      <w:r w:rsidRPr="00B730A9">
        <w:rPr>
          <w:rFonts w:ascii="Arial" w:hAnsi="Arial" w:cs="Arial"/>
          <w:sz w:val="24"/>
          <w:szCs w:val="24"/>
        </w:rPr>
        <w:t>Requires new revenue source</w:t>
      </w:r>
    </w:p>
    <w:p w14:paraId="4B1AB51A" w14:textId="77777777" w:rsidR="00B730A9" w:rsidRPr="00B730A9" w:rsidRDefault="00B730A9" w:rsidP="00B730A9">
      <w:pPr>
        <w:numPr>
          <w:ilvl w:val="0"/>
          <w:numId w:val="31"/>
        </w:numPr>
        <w:rPr>
          <w:rFonts w:ascii="Arial" w:hAnsi="Arial" w:cs="Arial"/>
          <w:sz w:val="24"/>
          <w:szCs w:val="24"/>
        </w:rPr>
      </w:pPr>
      <w:r w:rsidRPr="00B730A9">
        <w:rPr>
          <w:rFonts w:ascii="Arial" w:hAnsi="Arial" w:cs="Arial"/>
          <w:sz w:val="24"/>
          <w:szCs w:val="24"/>
        </w:rPr>
        <w:t>4–</w:t>
      </w:r>
      <w:proofErr w:type="gramStart"/>
      <w:r w:rsidRPr="00B730A9">
        <w:rPr>
          <w:rFonts w:ascii="Arial" w:hAnsi="Arial" w:cs="Arial"/>
          <w:sz w:val="24"/>
          <w:szCs w:val="24"/>
        </w:rPr>
        <w:t>5 year</w:t>
      </w:r>
      <w:proofErr w:type="gramEnd"/>
      <w:r w:rsidRPr="00B730A9">
        <w:rPr>
          <w:rFonts w:ascii="Arial" w:hAnsi="Arial" w:cs="Arial"/>
          <w:sz w:val="24"/>
          <w:szCs w:val="24"/>
        </w:rPr>
        <w:t xml:space="preserve"> development timeline</w:t>
      </w:r>
    </w:p>
    <w:p w14:paraId="5AA28561" w14:textId="77777777" w:rsidR="00B730A9" w:rsidRPr="00B730A9" w:rsidRDefault="00B730A9" w:rsidP="00B730A9">
      <w:pPr>
        <w:rPr>
          <w:rFonts w:ascii="Arial" w:hAnsi="Arial" w:cs="Arial"/>
          <w:sz w:val="24"/>
          <w:szCs w:val="24"/>
        </w:rPr>
      </w:pPr>
      <w:r w:rsidRPr="00B730A9">
        <w:rPr>
          <w:rFonts w:ascii="Arial" w:hAnsi="Arial" w:cs="Arial"/>
          <w:sz w:val="24"/>
          <w:szCs w:val="24"/>
        </w:rPr>
        <w:t>Scenario 2 Summary</w:t>
      </w:r>
    </w:p>
    <w:p w14:paraId="27E3B966" w14:textId="77777777" w:rsidR="00B730A9" w:rsidRDefault="00B730A9" w:rsidP="00B730A9">
      <w:pPr>
        <w:rPr>
          <w:rFonts w:ascii="Arial" w:hAnsi="Arial" w:cs="Arial"/>
          <w:sz w:val="24"/>
          <w:szCs w:val="24"/>
        </w:rPr>
      </w:pPr>
      <w:r w:rsidRPr="00B730A9">
        <w:rPr>
          <w:rFonts w:ascii="Arial" w:hAnsi="Arial" w:cs="Arial"/>
          <w:sz w:val="24"/>
          <w:szCs w:val="24"/>
        </w:rPr>
        <w:t>Operationally and financially not viable.</w:t>
      </w:r>
    </w:p>
    <w:p w14:paraId="2D01BAC2" w14:textId="77777777" w:rsidR="002D5248" w:rsidRPr="002D5248" w:rsidRDefault="002D5248" w:rsidP="002D5248">
      <w:pPr>
        <w:jc w:val="both"/>
        <w:rPr>
          <w:rFonts w:ascii="Arial" w:hAnsi="Arial" w:cs="Arial"/>
          <w:sz w:val="24"/>
          <w:szCs w:val="24"/>
        </w:rPr>
      </w:pPr>
      <w:r w:rsidRPr="002D5248">
        <w:rPr>
          <w:rFonts w:ascii="Arial" w:hAnsi="Arial" w:cs="Arial"/>
          <w:sz w:val="24"/>
          <w:szCs w:val="24"/>
        </w:rPr>
        <w:t>To better understand the financial implications of alternative service models, staff reviewed the attached CAL FIRE cost schedule, which represents the projected five-year contract costs for a single fire station staffed at a 3-0 engine company. This model provides a useful comparison to the District’s current two-station configuration.</w:t>
      </w:r>
    </w:p>
    <w:p w14:paraId="366666F0" w14:textId="77777777" w:rsidR="002D5248" w:rsidRDefault="002D5248" w:rsidP="002D5248">
      <w:pPr>
        <w:jc w:val="both"/>
        <w:rPr>
          <w:rFonts w:ascii="Arial" w:hAnsi="Arial" w:cs="Arial"/>
          <w:sz w:val="24"/>
          <w:szCs w:val="24"/>
        </w:rPr>
      </w:pPr>
      <w:r w:rsidRPr="002D5248">
        <w:rPr>
          <w:rFonts w:ascii="Arial" w:hAnsi="Arial" w:cs="Arial"/>
          <w:sz w:val="24"/>
          <w:szCs w:val="24"/>
        </w:rPr>
        <w:t xml:space="preserve">Under the attached cost schedule, the annual contract costs for one station </w:t>
      </w:r>
      <w:proofErr w:type="gramStart"/>
      <w:r w:rsidRPr="002D5248">
        <w:rPr>
          <w:rFonts w:ascii="Arial" w:hAnsi="Arial" w:cs="Arial"/>
          <w:sz w:val="24"/>
          <w:szCs w:val="24"/>
        </w:rPr>
        <w:t>are projected</w:t>
      </w:r>
      <w:proofErr w:type="gramEnd"/>
      <w:r w:rsidRPr="002D5248">
        <w:rPr>
          <w:rFonts w:ascii="Arial" w:hAnsi="Arial" w:cs="Arial"/>
          <w:sz w:val="24"/>
          <w:szCs w:val="24"/>
        </w:rPr>
        <w:t xml:space="preserve"> as follows:</w:t>
      </w:r>
    </w:p>
    <w:p w14:paraId="3A83032A" w14:textId="77777777" w:rsidR="002D5248" w:rsidRDefault="002D5248" w:rsidP="002D5248">
      <w:pPr>
        <w:jc w:val="both"/>
        <w:rPr>
          <w:rFonts w:ascii="Arial" w:hAnsi="Arial" w:cs="Arial"/>
          <w:sz w:val="24"/>
          <w:szCs w:val="24"/>
        </w:rPr>
      </w:pPr>
    </w:p>
    <w:p w14:paraId="2F833DA9" w14:textId="77777777" w:rsidR="002D5248" w:rsidRDefault="002D5248" w:rsidP="002D5248">
      <w:pPr>
        <w:jc w:val="both"/>
        <w:rPr>
          <w:rFonts w:ascii="Arial" w:hAnsi="Arial" w:cs="Arial"/>
          <w:sz w:val="24"/>
          <w:szCs w:val="24"/>
        </w:rPr>
      </w:pPr>
    </w:p>
    <w:p w14:paraId="5637BEAB" w14:textId="77777777" w:rsidR="002D5248" w:rsidRPr="002D5248" w:rsidRDefault="002D5248" w:rsidP="002D5248">
      <w:pPr>
        <w:jc w:val="both"/>
        <w:rPr>
          <w:rFonts w:ascii="Arial" w:hAnsi="Arial" w:cs="Arial"/>
          <w:sz w:val="24"/>
          <w:szCs w:val="24"/>
        </w:rPr>
      </w:pPr>
    </w:p>
    <w:p w14:paraId="1187E373" w14:textId="77777777" w:rsidR="002D5248" w:rsidRPr="002D5248" w:rsidRDefault="002D5248" w:rsidP="002D5248">
      <w:pPr>
        <w:rPr>
          <w:rFonts w:ascii="Arial" w:hAnsi="Arial" w:cs="Arial"/>
          <w:sz w:val="24"/>
          <w:szCs w:val="24"/>
        </w:rPr>
      </w:pPr>
      <w:r w:rsidRPr="002D5248">
        <w:rPr>
          <w:rFonts w:ascii="Arial" w:hAnsi="Arial" w:cs="Arial"/>
          <w:b/>
          <w:bCs/>
          <w:sz w:val="24"/>
          <w:szCs w:val="24"/>
        </w:rPr>
        <w:lastRenderedPageBreak/>
        <w:t>CAL FIRE Cost Projection — One Station, 3-0 Staffing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6"/>
        <w:gridCol w:w="1277"/>
      </w:tblGrid>
      <w:tr w:rsidR="002D5248" w:rsidRPr="002D5248" w14:paraId="3D6D8AB3" w14:textId="77777777">
        <w:trPr>
          <w:tblHeader/>
          <w:tblCellSpacing w:w="15" w:type="dxa"/>
        </w:trPr>
        <w:tc>
          <w:tcPr>
            <w:tcW w:w="0" w:type="auto"/>
            <w:vAlign w:val="center"/>
            <w:hideMark/>
          </w:tcPr>
          <w:p w14:paraId="252D7996" w14:textId="77777777" w:rsidR="002D5248" w:rsidRPr="002D5248" w:rsidRDefault="002D5248" w:rsidP="002D5248">
            <w:pPr>
              <w:rPr>
                <w:rFonts w:ascii="Arial" w:hAnsi="Arial" w:cs="Arial"/>
                <w:b/>
                <w:bCs/>
                <w:sz w:val="24"/>
                <w:szCs w:val="24"/>
              </w:rPr>
            </w:pPr>
            <w:r w:rsidRPr="002D5248">
              <w:rPr>
                <w:rFonts w:ascii="Arial" w:hAnsi="Arial" w:cs="Arial"/>
                <w:b/>
                <w:bCs/>
                <w:sz w:val="24"/>
                <w:szCs w:val="24"/>
              </w:rPr>
              <w:t>Fiscal Year</w:t>
            </w:r>
          </w:p>
        </w:tc>
        <w:tc>
          <w:tcPr>
            <w:tcW w:w="0" w:type="auto"/>
            <w:vAlign w:val="center"/>
            <w:hideMark/>
          </w:tcPr>
          <w:p w14:paraId="5C9E3BEB" w14:textId="77777777" w:rsidR="002D5248" w:rsidRPr="002D5248" w:rsidRDefault="002D5248" w:rsidP="002D5248">
            <w:pPr>
              <w:rPr>
                <w:rFonts w:ascii="Arial" w:hAnsi="Arial" w:cs="Arial"/>
                <w:b/>
                <w:bCs/>
                <w:sz w:val="24"/>
                <w:szCs w:val="24"/>
              </w:rPr>
            </w:pPr>
            <w:r w:rsidRPr="002D5248">
              <w:rPr>
                <w:rFonts w:ascii="Arial" w:hAnsi="Arial" w:cs="Arial"/>
                <w:b/>
                <w:bCs/>
                <w:sz w:val="24"/>
                <w:szCs w:val="24"/>
              </w:rPr>
              <w:t>Total Cost</w:t>
            </w:r>
          </w:p>
        </w:tc>
      </w:tr>
      <w:tr w:rsidR="002D5248" w:rsidRPr="002D5248" w14:paraId="17B8C90B" w14:textId="77777777">
        <w:trPr>
          <w:tblCellSpacing w:w="15" w:type="dxa"/>
        </w:trPr>
        <w:tc>
          <w:tcPr>
            <w:tcW w:w="0" w:type="auto"/>
            <w:vAlign w:val="center"/>
            <w:hideMark/>
          </w:tcPr>
          <w:p w14:paraId="2E6ED72F" w14:textId="77777777" w:rsidR="002D5248" w:rsidRPr="002D5248" w:rsidRDefault="002D5248" w:rsidP="002D5248">
            <w:pPr>
              <w:rPr>
                <w:rFonts w:ascii="Arial" w:hAnsi="Arial" w:cs="Arial"/>
                <w:sz w:val="24"/>
                <w:szCs w:val="24"/>
              </w:rPr>
            </w:pPr>
            <w:r w:rsidRPr="002D5248">
              <w:rPr>
                <w:rFonts w:ascii="Arial" w:hAnsi="Arial" w:cs="Arial"/>
                <w:b/>
                <w:bCs/>
                <w:sz w:val="24"/>
                <w:szCs w:val="24"/>
              </w:rPr>
              <w:t>FY25/26</w:t>
            </w:r>
          </w:p>
        </w:tc>
        <w:tc>
          <w:tcPr>
            <w:tcW w:w="0" w:type="auto"/>
            <w:vAlign w:val="center"/>
            <w:hideMark/>
          </w:tcPr>
          <w:p w14:paraId="6D41FDF6" w14:textId="77777777" w:rsidR="002D5248" w:rsidRPr="002D5248" w:rsidRDefault="002D5248" w:rsidP="002D5248">
            <w:pPr>
              <w:rPr>
                <w:rFonts w:ascii="Arial" w:hAnsi="Arial" w:cs="Arial"/>
                <w:sz w:val="24"/>
                <w:szCs w:val="24"/>
              </w:rPr>
            </w:pPr>
            <w:r w:rsidRPr="002D5248">
              <w:rPr>
                <w:rFonts w:ascii="Arial" w:hAnsi="Arial" w:cs="Arial"/>
                <w:sz w:val="24"/>
                <w:szCs w:val="24"/>
              </w:rPr>
              <w:t>$2,870,606</w:t>
            </w:r>
          </w:p>
        </w:tc>
      </w:tr>
      <w:tr w:rsidR="002D5248" w:rsidRPr="002D5248" w14:paraId="17178325" w14:textId="77777777">
        <w:trPr>
          <w:tblCellSpacing w:w="15" w:type="dxa"/>
        </w:trPr>
        <w:tc>
          <w:tcPr>
            <w:tcW w:w="0" w:type="auto"/>
            <w:vAlign w:val="center"/>
            <w:hideMark/>
          </w:tcPr>
          <w:p w14:paraId="27057C72" w14:textId="77777777" w:rsidR="002D5248" w:rsidRPr="002D5248" w:rsidRDefault="002D5248" w:rsidP="002D5248">
            <w:pPr>
              <w:rPr>
                <w:rFonts w:ascii="Arial" w:hAnsi="Arial" w:cs="Arial"/>
                <w:sz w:val="24"/>
                <w:szCs w:val="24"/>
              </w:rPr>
            </w:pPr>
            <w:r w:rsidRPr="002D5248">
              <w:rPr>
                <w:rFonts w:ascii="Arial" w:hAnsi="Arial" w:cs="Arial"/>
                <w:b/>
                <w:bCs/>
                <w:sz w:val="24"/>
                <w:szCs w:val="24"/>
              </w:rPr>
              <w:t>FY26/27 (+5%)</w:t>
            </w:r>
          </w:p>
        </w:tc>
        <w:tc>
          <w:tcPr>
            <w:tcW w:w="0" w:type="auto"/>
            <w:vAlign w:val="center"/>
            <w:hideMark/>
          </w:tcPr>
          <w:p w14:paraId="1883E5E7" w14:textId="77777777" w:rsidR="002D5248" w:rsidRPr="002D5248" w:rsidRDefault="002D5248" w:rsidP="002D5248">
            <w:pPr>
              <w:rPr>
                <w:rFonts w:ascii="Arial" w:hAnsi="Arial" w:cs="Arial"/>
                <w:sz w:val="24"/>
                <w:szCs w:val="24"/>
              </w:rPr>
            </w:pPr>
            <w:r w:rsidRPr="002D5248">
              <w:rPr>
                <w:rFonts w:ascii="Arial" w:hAnsi="Arial" w:cs="Arial"/>
                <w:sz w:val="24"/>
                <w:szCs w:val="24"/>
              </w:rPr>
              <w:t>$3,014,136</w:t>
            </w:r>
          </w:p>
        </w:tc>
      </w:tr>
      <w:tr w:rsidR="002D5248" w:rsidRPr="002D5248" w14:paraId="7DBBD1AC" w14:textId="77777777">
        <w:trPr>
          <w:tblCellSpacing w:w="15" w:type="dxa"/>
        </w:trPr>
        <w:tc>
          <w:tcPr>
            <w:tcW w:w="0" w:type="auto"/>
            <w:vAlign w:val="center"/>
            <w:hideMark/>
          </w:tcPr>
          <w:p w14:paraId="7C0EED11" w14:textId="77777777" w:rsidR="002D5248" w:rsidRPr="002D5248" w:rsidRDefault="002D5248" w:rsidP="002D5248">
            <w:pPr>
              <w:rPr>
                <w:rFonts w:ascii="Arial" w:hAnsi="Arial" w:cs="Arial"/>
                <w:sz w:val="24"/>
                <w:szCs w:val="24"/>
              </w:rPr>
            </w:pPr>
            <w:r w:rsidRPr="002D5248">
              <w:rPr>
                <w:rFonts w:ascii="Arial" w:hAnsi="Arial" w:cs="Arial"/>
                <w:b/>
                <w:bCs/>
                <w:sz w:val="24"/>
                <w:szCs w:val="24"/>
              </w:rPr>
              <w:t>FY27/28 (+5%)</w:t>
            </w:r>
          </w:p>
        </w:tc>
        <w:tc>
          <w:tcPr>
            <w:tcW w:w="0" w:type="auto"/>
            <w:vAlign w:val="center"/>
            <w:hideMark/>
          </w:tcPr>
          <w:p w14:paraId="63A9A214" w14:textId="77777777" w:rsidR="002D5248" w:rsidRPr="002D5248" w:rsidRDefault="002D5248" w:rsidP="002D5248">
            <w:pPr>
              <w:rPr>
                <w:rFonts w:ascii="Arial" w:hAnsi="Arial" w:cs="Arial"/>
                <w:sz w:val="24"/>
                <w:szCs w:val="24"/>
              </w:rPr>
            </w:pPr>
            <w:r w:rsidRPr="002D5248">
              <w:rPr>
                <w:rFonts w:ascii="Arial" w:hAnsi="Arial" w:cs="Arial"/>
                <w:sz w:val="24"/>
                <w:szCs w:val="24"/>
              </w:rPr>
              <w:t>$3,164,843</w:t>
            </w:r>
          </w:p>
        </w:tc>
      </w:tr>
      <w:tr w:rsidR="002D5248" w:rsidRPr="002D5248" w14:paraId="13AB659A" w14:textId="77777777">
        <w:trPr>
          <w:tblCellSpacing w:w="15" w:type="dxa"/>
        </w:trPr>
        <w:tc>
          <w:tcPr>
            <w:tcW w:w="0" w:type="auto"/>
            <w:vAlign w:val="center"/>
            <w:hideMark/>
          </w:tcPr>
          <w:p w14:paraId="2967AFB8" w14:textId="77777777" w:rsidR="002D5248" w:rsidRPr="002D5248" w:rsidRDefault="002D5248" w:rsidP="002D5248">
            <w:pPr>
              <w:rPr>
                <w:rFonts w:ascii="Arial" w:hAnsi="Arial" w:cs="Arial"/>
                <w:sz w:val="24"/>
                <w:szCs w:val="24"/>
              </w:rPr>
            </w:pPr>
            <w:r w:rsidRPr="002D5248">
              <w:rPr>
                <w:rFonts w:ascii="Arial" w:hAnsi="Arial" w:cs="Arial"/>
                <w:b/>
                <w:bCs/>
                <w:sz w:val="24"/>
                <w:szCs w:val="24"/>
              </w:rPr>
              <w:t>FY28/29 (+5%)</w:t>
            </w:r>
          </w:p>
        </w:tc>
        <w:tc>
          <w:tcPr>
            <w:tcW w:w="0" w:type="auto"/>
            <w:vAlign w:val="center"/>
            <w:hideMark/>
          </w:tcPr>
          <w:p w14:paraId="09CCDF9E" w14:textId="77777777" w:rsidR="002D5248" w:rsidRPr="002D5248" w:rsidRDefault="002D5248" w:rsidP="002D5248">
            <w:pPr>
              <w:rPr>
                <w:rFonts w:ascii="Arial" w:hAnsi="Arial" w:cs="Arial"/>
                <w:sz w:val="24"/>
                <w:szCs w:val="24"/>
              </w:rPr>
            </w:pPr>
            <w:r w:rsidRPr="002D5248">
              <w:rPr>
                <w:rFonts w:ascii="Arial" w:hAnsi="Arial" w:cs="Arial"/>
                <w:sz w:val="24"/>
                <w:szCs w:val="24"/>
              </w:rPr>
              <w:t>$3,323,085</w:t>
            </w:r>
          </w:p>
        </w:tc>
      </w:tr>
      <w:tr w:rsidR="002D5248" w:rsidRPr="002D5248" w14:paraId="3C0863A4" w14:textId="77777777">
        <w:trPr>
          <w:tblCellSpacing w:w="15" w:type="dxa"/>
        </w:trPr>
        <w:tc>
          <w:tcPr>
            <w:tcW w:w="0" w:type="auto"/>
            <w:vAlign w:val="center"/>
            <w:hideMark/>
          </w:tcPr>
          <w:p w14:paraId="31657713" w14:textId="77777777" w:rsidR="002D5248" w:rsidRPr="002D5248" w:rsidRDefault="002D5248" w:rsidP="002D5248">
            <w:pPr>
              <w:rPr>
                <w:rFonts w:ascii="Arial" w:hAnsi="Arial" w:cs="Arial"/>
                <w:sz w:val="24"/>
                <w:szCs w:val="24"/>
              </w:rPr>
            </w:pPr>
            <w:r w:rsidRPr="002D5248">
              <w:rPr>
                <w:rFonts w:ascii="Arial" w:hAnsi="Arial" w:cs="Arial"/>
                <w:b/>
                <w:bCs/>
                <w:sz w:val="24"/>
                <w:szCs w:val="24"/>
              </w:rPr>
              <w:t>FY29/30 (+5%)</w:t>
            </w:r>
          </w:p>
        </w:tc>
        <w:tc>
          <w:tcPr>
            <w:tcW w:w="0" w:type="auto"/>
            <w:vAlign w:val="center"/>
            <w:hideMark/>
          </w:tcPr>
          <w:p w14:paraId="1C95DB3D" w14:textId="77777777" w:rsidR="002D5248" w:rsidRPr="002D5248" w:rsidRDefault="002D5248" w:rsidP="002D5248">
            <w:pPr>
              <w:rPr>
                <w:rFonts w:ascii="Arial" w:hAnsi="Arial" w:cs="Arial"/>
                <w:sz w:val="24"/>
                <w:szCs w:val="24"/>
              </w:rPr>
            </w:pPr>
            <w:r w:rsidRPr="002D5248">
              <w:rPr>
                <w:rFonts w:ascii="Arial" w:hAnsi="Arial" w:cs="Arial"/>
                <w:sz w:val="24"/>
                <w:szCs w:val="24"/>
              </w:rPr>
              <w:t>$3,489,240</w:t>
            </w:r>
          </w:p>
        </w:tc>
      </w:tr>
    </w:tbl>
    <w:p w14:paraId="28E35210" w14:textId="77777777" w:rsidR="002D5248" w:rsidRPr="002D5248" w:rsidRDefault="002D5248" w:rsidP="002D5248">
      <w:pPr>
        <w:jc w:val="both"/>
        <w:rPr>
          <w:rFonts w:ascii="Arial" w:hAnsi="Arial" w:cs="Arial"/>
          <w:sz w:val="24"/>
          <w:szCs w:val="24"/>
        </w:rPr>
      </w:pPr>
      <w:r w:rsidRPr="002D5248">
        <w:rPr>
          <w:rFonts w:ascii="Arial" w:hAnsi="Arial" w:cs="Arial"/>
          <w:sz w:val="24"/>
          <w:szCs w:val="24"/>
        </w:rPr>
        <w:t xml:space="preserve">When compared to the District's </w:t>
      </w:r>
      <w:r w:rsidRPr="002D5248">
        <w:rPr>
          <w:rFonts w:ascii="Arial" w:hAnsi="Arial" w:cs="Arial"/>
          <w:b/>
          <w:bCs/>
          <w:sz w:val="24"/>
          <w:szCs w:val="24"/>
        </w:rPr>
        <w:t>current agreement</w:t>
      </w:r>
      <w:r w:rsidRPr="002D5248">
        <w:rPr>
          <w:rFonts w:ascii="Arial" w:hAnsi="Arial" w:cs="Arial"/>
          <w:sz w:val="24"/>
          <w:szCs w:val="24"/>
        </w:rPr>
        <w:t xml:space="preserve">, which funds </w:t>
      </w:r>
      <w:r w:rsidRPr="002D5248">
        <w:rPr>
          <w:rFonts w:ascii="Arial" w:hAnsi="Arial" w:cs="Arial"/>
          <w:b/>
          <w:bCs/>
          <w:sz w:val="24"/>
          <w:szCs w:val="24"/>
        </w:rPr>
        <w:t>two stations</w:t>
      </w:r>
      <w:r w:rsidRPr="002D5248">
        <w:rPr>
          <w:rFonts w:ascii="Arial" w:hAnsi="Arial" w:cs="Arial"/>
          <w:sz w:val="24"/>
          <w:szCs w:val="24"/>
        </w:rPr>
        <w:t xml:space="preserve">, the financial contrast is significant. The two-station contract projections—based on the previously referenced NTE amounts—range from </w:t>
      </w:r>
      <w:r w:rsidRPr="002D5248">
        <w:rPr>
          <w:rFonts w:ascii="Arial" w:hAnsi="Arial" w:cs="Arial"/>
          <w:b/>
          <w:bCs/>
          <w:sz w:val="24"/>
          <w:szCs w:val="24"/>
        </w:rPr>
        <w:t>$3.58 million in FY25/26</w:t>
      </w:r>
      <w:r w:rsidRPr="002D5248">
        <w:rPr>
          <w:rFonts w:ascii="Arial" w:hAnsi="Arial" w:cs="Arial"/>
          <w:sz w:val="24"/>
          <w:szCs w:val="24"/>
        </w:rPr>
        <w:t xml:space="preserve"> to </w:t>
      </w:r>
      <w:r w:rsidRPr="002D5248">
        <w:rPr>
          <w:rFonts w:ascii="Arial" w:hAnsi="Arial" w:cs="Arial"/>
          <w:b/>
          <w:bCs/>
          <w:sz w:val="24"/>
          <w:szCs w:val="24"/>
        </w:rPr>
        <w:t>$4.35 million by FY29/30</w:t>
      </w:r>
      <w:r w:rsidRPr="002D5248">
        <w:rPr>
          <w:rFonts w:ascii="Arial" w:hAnsi="Arial" w:cs="Arial"/>
          <w:sz w:val="24"/>
          <w:szCs w:val="24"/>
        </w:rPr>
        <w:t>. Even after accounting for the District’s historical underrun trend of 10.74%, the operating costs for maintaining two stations remain materially higher than the cost of operating a single 3-0 staffed station.</w:t>
      </w:r>
    </w:p>
    <w:p w14:paraId="33CFEE3B" w14:textId="77777777" w:rsidR="002D5248" w:rsidRPr="002D5248" w:rsidRDefault="002D5248" w:rsidP="002D5248">
      <w:pPr>
        <w:jc w:val="both"/>
        <w:rPr>
          <w:rFonts w:ascii="Arial" w:hAnsi="Arial" w:cs="Arial"/>
          <w:sz w:val="24"/>
          <w:szCs w:val="24"/>
        </w:rPr>
      </w:pPr>
      <w:r w:rsidRPr="002D5248">
        <w:rPr>
          <w:rFonts w:ascii="Arial" w:hAnsi="Arial" w:cs="Arial"/>
          <w:sz w:val="24"/>
          <w:szCs w:val="24"/>
        </w:rPr>
        <w:t xml:space="preserve">This analysis demonstrates that while a one-station model would reduce contract costs by approximately </w:t>
      </w:r>
      <w:r w:rsidRPr="002D5248">
        <w:rPr>
          <w:rFonts w:ascii="Arial" w:hAnsi="Arial" w:cs="Arial"/>
          <w:b/>
          <w:bCs/>
          <w:sz w:val="24"/>
          <w:szCs w:val="24"/>
        </w:rPr>
        <w:t>$700,000 to $900,000 per year</w:t>
      </w:r>
      <w:r w:rsidRPr="002D5248">
        <w:rPr>
          <w:rFonts w:ascii="Arial" w:hAnsi="Arial" w:cs="Arial"/>
          <w:sz w:val="24"/>
          <w:szCs w:val="24"/>
        </w:rPr>
        <w:t>, such a reduction would come at the expense of adequate coverage, redundancy, reliability for secondary incidents, and compliance with CAL FIRE’s operational standards for the Cameron Park service area. As stated previously, neither the District nor CAL FIRE support a single-station operational model, and the current station locations do not provide a feasible opportunity to serve the entire community from one site.</w:t>
      </w:r>
    </w:p>
    <w:p w14:paraId="4AF30CAC" w14:textId="77777777" w:rsidR="002D5248" w:rsidRPr="002D5248" w:rsidRDefault="002D5248" w:rsidP="002D5248">
      <w:pPr>
        <w:jc w:val="both"/>
        <w:rPr>
          <w:rFonts w:ascii="Arial" w:hAnsi="Arial" w:cs="Arial"/>
          <w:sz w:val="24"/>
          <w:szCs w:val="24"/>
        </w:rPr>
      </w:pPr>
      <w:r w:rsidRPr="002D5248">
        <w:rPr>
          <w:rFonts w:ascii="Arial" w:hAnsi="Arial" w:cs="Arial"/>
          <w:sz w:val="24"/>
          <w:szCs w:val="24"/>
        </w:rPr>
        <w:t>Nonetheless, the attached cost schedule provides valuable insight into the baseline cost of a fully staffed, single-station operation, which supports the broader financial modeling within this Sustainability Plan. It reinforces the conclusion that while two stations represent a more substantial financial commitment, they remain essential to providing appropriate levels of service and maintaining community risk standards.</w:t>
      </w:r>
    </w:p>
    <w:p w14:paraId="67CD0407" w14:textId="77777777" w:rsidR="002D5248" w:rsidRPr="00B730A9" w:rsidRDefault="002D5248" w:rsidP="00B730A9">
      <w:pPr>
        <w:rPr>
          <w:rFonts w:ascii="Arial" w:hAnsi="Arial" w:cs="Arial"/>
          <w:sz w:val="24"/>
          <w:szCs w:val="24"/>
        </w:rPr>
      </w:pPr>
    </w:p>
    <w:p w14:paraId="664C4BC1" w14:textId="77777777" w:rsidR="00B730A9" w:rsidRPr="00B730A9" w:rsidRDefault="00000000" w:rsidP="00B730A9">
      <w:pPr>
        <w:rPr>
          <w:rFonts w:ascii="Arial" w:hAnsi="Arial" w:cs="Arial"/>
          <w:sz w:val="24"/>
          <w:szCs w:val="24"/>
        </w:rPr>
      </w:pPr>
      <w:r>
        <w:rPr>
          <w:rFonts w:ascii="Arial" w:hAnsi="Arial" w:cs="Arial"/>
          <w:sz w:val="24"/>
          <w:szCs w:val="24"/>
        </w:rPr>
        <w:pict w14:anchorId="7FC70EDE">
          <v:rect id="_x0000_i1031" style="width:0;height:1.5pt" o:hralign="center" o:hrstd="t" o:hr="t" fillcolor="#a0a0a0" stroked="f"/>
        </w:pict>
      </w:r>
    </w:p>
    <w:p w14:paraId="180312D1" w14:textId="77777777" w:rsidR="00B730A9" w:rsidRPr="00B730A9" w:rsidRDefault="00B730A9" w:rsidP="00B730A9">
      <w:pPr>
        <w:rPr>
          <w:rFonts w:ascii="Arial" w:hAnsi="Arial" w:cs="Arial"/>
          <w:b/>
          <w:bCs/>
          <w:sz w:val="24"/>
          <w:szCs w:val="24"/>
        </w:rPr>
      </w:pPr>
      <w:r w:rsidRPr="00B730A9">
        <w:rPr>
          <w:rFonts w:ascii="Arial" w:hAnsi="Arial" w:cs="Arial"/>
          <w:b/>
          <w:bCs/>
          <w:sz w:val="24"/>
          <w:szCs w:val="24"/>
        </w:rPr>
        <w:t>Scenario 3 — Joint Consolidation &amp; Shared Station Development (JPA Option Included)</w:t>
      </w:r>
    </w:p>
    <w:p w14:paraId="48F59E63" w14:textId="77777777" w:rsidR="00B730A9" w:rsidRPr="00B730A9" w:rsidRDefault="00B730A9" w:rsidP="00B730A9">
      <w:pPr>
        <w:rPr>
          <w:rFonts w:ascii="Arial" w:hAnsi="Arial" w:cs="Arial"/>
          <w:sz w:val="24"/>
          <w:szCs w:val="24"/>
        </w:rPr>
      </w:pPr>
      <w:r w:rsidRPr="00B730A9">
        <w:rPr>
          <w:rFonts w:ascii="Arial" w:hAnsi="Arial" w:cs="Arial"/>
          <w:i/>
          <w:iCs/>
          <w:sz w:val="24"/>
          <w:szCs w:val="24"/>
        </w:rPr>
        <w:t>(Replacement of Station 88 through a Jointly Built and Operated Facility)</w:t>
      </w:r>
    </w:p>
    <w:p w14:paraId="11CA1A3A" w14:textId="77777777" w:rsidR="00B730A9" w:rsidRPr="00B730A9" w:rsidRDefault="00B730A9" w:rsidP="00B730A9">
      <w:pPr>
        <w:rPr>
          <w:rFonts w:ascii="Arial" w:hAnsi="Arial" w:cs="Arial"/>
          <w:sz w:val="24"/>
          <w:szCs w:val="24"/>
        </w:rPr>
      </w:pPr>
      <w:r w:rsidRPr="00B730A9">
        <w:rPr>
          <w:rFonts w:ascii="Arial" w:hAnsi="Arial" w:cs="Arial"/>
          <w:sz w:val="24"/>
          <w:szCs w:val="24"/>
        </w:rPr>
        <w:t>Overview</w:t>
      </w:r>
    </w:p>
    <w:p w14:paraId="115CE9E1" w14:textId="77777777" w:rsidR="00B730A9" w:rsidRPr="00B730A9" w:rsidRDefault="00B730A9" w:rsidP="00B730A9">
      <w:pPr>
        <w:rPr>
          <w:rFonts w:ascii="Arial" w:hAnsi="Arial" w:cs="Arial"/>
          <w:sz w:val="24"/>
          <w:szCs w:val="24"/>
        </w:rPr>
      </w:pPr>
      <w:proofErr w:type="gramStart"/>
      <w:r w:rsidRPr="00B730A9">
        <w:rPr>
          <w:rFonts w:ascii="Arial" w:hAnsi="Arial" w:cs="Arial"/>
          <w:sz w:val="24"/>
          <w:szCs w:val="24"/>
        </w:rPr>
        <w:t>Examines</w:t>
      </w:r>
      <w:proofErr w:type="gramEnd"/>
      <w:r w:rsidRPr="00B730A9">
        <w:rPr>
          <w:rFonts w:ascii="Arial" w:hAnsi="Arial" w:cs="Arial"/>
          <w:sz w:val="24"/>
          <w:szCs w:val="24"/>
        </w:rPr>
        <w:t xml:space="preserve"> development of a shared modern station with a neighboring agency through a cooperative structure, such as a Joint Powers Authority (JPA).</w:t>
      </w:r>
    </w:p>
    <w:p w14:paraId="3485292B" w14:textId="77777777" w:rsidR="00B730A9" w:rsidRPr="00B730A9" w:rsidRDefault="00B730A9" w:rsidP="00B730A9">
      <w:pPr>
        <w:rPr>
          <w:rFonts w:ascii="Arial" w:hAnsi="Arial" w:cs="Arial"/>
          <w:sz w:val="24"/>
          <w:szCs w:val="24"/>
        </w:rPr>
      </w:pPr>
      <w:r w:rsidRPr="00B730A9">
        <w:rPr>
          <w:rFonts w:ascii="Arial" w:hAnsi="Arial" w:cs="Arial"/>
          <w:sz w:val="24"/>
          <w:szCs w:val="24"/>
        </w:rPr>
        <w:lastRenderedPageBreak/>
        <w:t>Operational Advantages</w:t>
      </w:r>
    </w:p>
    <w:p w14:paraId="73891495" w14:textId="77777777" w:rsidR="00B730A9" w:rsidRPr="00B730A9" w:rsidRDefault="00B730A9" w:rsidP="00B730A9">
      <w:pPr>
        <w:numPr>
          <w:ilvl w:val="0"/>
          <w:numId w:val="32"/>
        </w:numPr>
        <w:rPr>
          <w:rFonts w:ascii="Arial" w:hAnsi="Arial" w:cs="Arial"/>
          <w:sz w:val="24"/>
          <w:szCs w:val="24"/>
        </w:rPr>
      </w:pPr>
      <w:r w:rsidRPr="00B730A9">
        <w:rPr>
          <w:rFonts w:ascii="Arial" w:hAnsi="Arial" w:cs="Arial"/>
          <w:sz w:val="24"/>
          <w:szCs w:val="24"/>
        </w:rPr>
        <w:t>Improved regional coverage</w:t>
      </w:r>
    </w:p>
    <w:p w14:paraId="6CE7A0A5" w14:textId="77777777" w:rsidR="00B730A9" w:rsidRPr="00B730A9" w:rsidRDefault="00B730A9" w:rsidP="00B730A9">
      <w:pPr>
        <w:numPr>
          <w:ilvl w:val="0"/>
          <w:numId w:val="32"/>
        </w:numPr>
        <w:rPr>
          <w:rFonts w:ascii="Arial" w:hAnsi="Arial" w:cs="Arial"/>
          <w:sz w:val="24"/>
          <w:szCs w:val="24"/>
        </w:rPr>
      </w:pPr>
      <w:r w:rsidRPr="00B730A9">
        <w:rPr>
          <w:rFonts w:ascii="Arial" w:hAnsi="Arial" w:cs="Arial"/>
          <w:sz w:val="24"/>
          <w:szCs w:val="24"/>
        </w:rPr>
        <w:t>Increased surge capacity</w:t>
      </w:r>
    </w:p>
    <w:p w14:paraId="0D0AD859" w14:textId="77777777" w:rsidR="00B730A9" w:rsidRPr="00B730A9" w:rsidRDefault="00B730A9" w:rsidP="00B730A9">
      <w:pPr>
        <w:numPr>
          <w:ilvl w:val="0"/>
          <w:numId w:val="32"/>
        </w:numPr>
        <w:rPr>
          <w:rFonts w:ascii="Arial" w:hAnsi="Arial" w:cs="Arial"/>
          <w:sz w:val="24"/>
          <w:szCs w:val="24"/>
        </w:rPr>
      </w:pPr>
      <w:r w:rsidRPr="00B730A9">
        <w:rPr>
          <w:rFonts w:ascii="Arial" w:hAnsi="Arial" w:cs="Arial"/>
          <w:sz w:val="24"/>
          <w:szCs w:val="24"/>
        </w:rPr>
        <w:t>Reduced duplicated facilities</w:t>
      </w:r>
    </w:p>
    <w:p w14:paraId="741A924A" w14:textId="77777777" w:rsidR="00B730A9" w:rsidRPr="00B730A9" w:rsidRDefault="00B730A9" w:rsidP="00B730A9">
      <w:pPr>
        <w:numPr>
          <w:ilvl w:val="0"/>
          <w:numId w:val="32"/>
        </w:numPr>
        <w:rPr>
          <w:rFonts w:ascii="Arial" w:hAnsi="Arial" w:cs="Arial"/>
          <w:sz w:val="24"/>
          <w:szCs w:val="24"/>
        </w:rPr>
      </w:pPr>
      <w:r w:rsidRPr="00B730A9">
        <w:rPr>
          <w:rFonts w:ascii="Arial" w:hAnsi="Arial" w:cs="Arial"/>
          <w:sz w:val="24"/>
          <w:szCs w:val="24"/>
        </w:rPr>
        <w:t>Opportunities for shared staffing, training, and support functions</w:t>
      </w:r>
    </w:p>
    <w:p w14:paraId="3A6B176C" w14:textId="77777777" w:rsidR="00B730A9" w:rsidRPr="00B730A9" w:rsidRDefault="00B730A9" w:rsidP="00B730A9">
      <w:pPr>
        <w:numPr>
          <w:ilvl w:val="0"/>
          <w:numId w:val="32"/>
        </w:numPr>
        <w:rPr>
          <w:rFonts w:ascii="Arial" w:hAnsi="Arial" w:cs="Arial"/>
          <w:sz w:val="24"/>
          <w:szCs w:val="24"/>
        </w:rPr>
      </w:pPr>
      <w:r w:rsidRPr="00B730A9">
        <w:rPr>
          <w:rFonts w:ascii="Arial" w:hAnsi="Arial" w:cs="Arial"/>
          <w:sz w:val="24"/>
          <w:szCs w:val="24"/>
        </w:rPr>
        <w:t>Long-term operational cost savings through shared services</w:t>
      </w:r>
    </w:p>
    <w:p w14:paraId="396E4B7F" w14:textId="77777777" w:rsidR="00B730A9" w:rsidRPr="00B730A9" w:rsidRDefault="00B730A9" w:rsidP="00B730A9">
      <w:pPr>
        <w:rPr>
          <w:rFonts w:ascii="Arial" w:hAnsi="Arial" w:cs="Arial"/>
          <w:sz w:val="24"/>
          <w:szCs w:val="24"/>
        </w:rPr>
      </w:pPr>
      <w:r w:rsidRPr="00B730A9">
        <w:rPr>
          <w:rFonts w:ascii="Arial" w:hAnsi="Arial" w:cs="Arial"/>
          <w:sz w:val="24"/>
          <w:szCs w:val="24"/>
        </w:rPr>
        <w:t>Capital Considerations</w:t>
      </w:r>
    </w:p>
    <w:p w14:paraId="575328FE" w14:textId="77777777" w:rsidR="00B730A9" w:rsidRPr="00B730A9" w:rsidRDefault="00B730A9" w:rsidP="00B730A9">
      <w:pPr>
        <w:numPr>
          <w:ilvl w:val="0"/>
          <w:numId w:val="33"/>
        </w:numPr>
        <w:rPr>
          <w:rFonts w:ascii="Arial" w:hAnsi="Arial" w:cs="Arial"/>
          <w:sz w:val="24"/>
          <w:szCs w:val="24"/>
        </w:rPr>
      </w:pPr>
      <w:r w:rsidRPr="00B730A9">
        <w:rPr>
          <w:rFonts w:ascii="Arial" w:hAnsi="Arial" w:cs="Arial"/>
          <w:sz w:val="24"/>
          <w:szCs w:val="24"/>
        </w:rPr>
        <w:t>Estimated cost: ~$16 million</w:t>
      </w:r>
    </w:p>
    <w:p w14:paraId="2C587AA8" w14:textId="77777777" w:rsidR="00B730A9" w:rsidRPr="00B730A9" w:rsidRDefault="00B730A9" w:rsidP="00B730A9">
      <w:pPr>
        <w:numPr>
          <w:ilvl w:val="0"/>
          <w:numId w:val="33"/>
        </w:numPr>
        <w:rPr>
          <w:rFonts w:ascii="Arial" w:hAnsi="Arial" w:cs="Arial"/>
          <w:sz w:val="24"/>
          <w:szCs w:val="24"/>
        </w:rPr>
      </w:pPr>
      <w:r w:rsidRPr="00B730A9">
        <w:rPr>
          <w:rFonts w:ascii="Arial" w:hAnsi="Arial" w:cs="Arial"/>
          <w:sz w:val="24"/>
          <w:szCs w:val="24"/>
        </w:rPr>
        <w:t>Cost-sharing agreements reduce CPCSD’s burden</w:t>
      </w:r>
    </w:p>
    <w:p w14:paraId="59664576" w14:textId="77777777" w:rsidR="00B730A9" w:rsidRPr="00B730A9" w:rsidRDefault="00B730A9" w:rsidP="00B730A9">
      <w:pPr>
        <w:rPr>
          <w:rFonts w:ascii="Arial" w:hAnsi="Arial" w:cs="Arial"/>
          <w:sz w:val="24"/>
          <w:szCs w:val="24"/>
        </w:rPr>
      </w:pPr>
      <w:r w:rsidRPr="00B730A9">
        <w:rPr>
          <w:rFonts w:ascii="Arial" w:hAnsi="Arial" w:cs="Arial"/>
          <w:sz w:val="24"/>
          <w:szCs w:val="24"/>
        </w:rPr>
        <w:t>Timeline</w:t>
      </w:r>
    </w:p>
    <w:p w14:paraId="4383B62E" w14:textId="77777777" w:rsidR="00B730A9" w:rsidRPr="00B730A9" w:rsidRDefault="00B730A9" w:rsidP="00B730A9">
      <w:pPr>
        <w:numPr>
          <w:ilvl w:val="0"/>
          <w:numId w:val="34"/>
        </w:numPr>
        <w:rPr>
          <w:rFonts w:ascii="Arial" w:hAnsi="Arial" w:cs="Arial"/>
          <w:sz w:val="24"/>
          <w:szCs w:val="24"/>
        </w:rPr>
      </w:pPr>
      <w:r w:rsidRPr="00B730A9">
        <w:rPr>
          <w:rFonts w:ascii="Arial" w:hAnsi="Arial" w:cs="Arial"/>
          <w:sz w:val="24"/>
          <w:szCs w:val="24"/>
        </w:rPr>
        <w:t>4–5 years for planning, design, funding, and construction</w:t>
      </w:r>
    </w:p>
    <w:p w14:paraId="2EF0D549" w14:textId="77777777" w:rsidR="00B730A9" w:rsidRPr="00B730A9" w:rsidRDefault="00B730A9" w:rsidP="00B730A9">
      <w:pPr>
        <w:rPr>
          <w:rFonts w:ascii="Arial" w:hAnsi="Arial" w:cs="Arial"/>
          <w:sz w:val="24"/>
          <w:szCs w:val="24"/>
        </w:rPr>
      </w:pPr>
      <w:r w:rsidRPr="00B730A9">
        <w:rPr>
          <w:rFonts w:ascii="Arial" w:hAnsi="Arial" w:cs="Arial"/>
          <w:sz w:val="24"/>
          <w:szCs w:val="24"/>
        </w:rPr>
        <w:t>Scenario 3 Summary</w:t>
      </w:r>
    </w:p>
    <w:p w14:paraId="68330B70" w14:textId="77777777" w:rsidR="00B730A9" w:rsidRPr="00B730A9" w:rsidRDefault="00B730A9" w:rsidP="00B730A9">
      <w:pPr>
        <w:rPr>
          <w:rFonts w:ascii="Arial" w:hAnsi="Arial" w:cs="Arial"/>
          <w:sz w:val="24"/>
          <w:szCs w:val="24"/>
        </w:rPr>
      </w:pPr>
      <w:r w:rsidRPr="00B730A9">
        <w:rPr>
          <w:rFonts w:ascii="Arial" w:hAnsi="Arial" w:cs="Arial"/>
          <w:sz w:val="24"/>
          <w:szCs w:val="24"/>
        </w:rPr>
        <w:t xml:space="preserve">A strong </w:t>
      </w:r>
      <w:r w:rsidRPr="00B730A9">
        <w:rPr>
          <w:rFonts w:ascii="Arial" w:hAnsi="Arial" w:cs="Arial"/>
          <w:i/>
          <w:iCs/>
          <w:sz w:val="24"/>
          <w:szCs w:val="24"/>
        </w:rPr>
        <w:t>long-term</w:t>
      </w:r>
      <w:r w:rsidRPr="00B730A9">
        <w:rPr>
          <w:rFonts w:ascii="Arial" w:hAnsi="Arial" w:cs="Arial"/>
          <w:sz w:val="24"/>
          <w:szCs w:val="24"/>
        </w:rPr>
        <w:t xml:space="preserve"> modernization strategy; not an immediate need.</w:t>
      </w:r>
    </w:p>
    <w:p w14:paraId="094AB131" w14:textId="77777777" w:rsidR="00B730A9" w:rsidRPr="00B730A9" w:rsidRDefault="00000000" w:rsidP="00B730A9">
      <w:pPr>
        <w:rPr>
          <w:rFonts w:ascii="Arial" w:hAnsi="Arial" w:cs="Arial"/>
          <w:sz w:val="24"/>
          <w:szCs w:val="24"/>
        </w:rPr>
      </w:pPr>
      <w:r>
        <w:rPr>
          <w:rFonts w:ascii="Arial" w:hAnsi="Arial" w:cs="Arial"/>
          <w:sz w:val="24"/>
          <w:szCs w:val="24"/>
        </w:rPr>
        <w:pict w14:anchorId="12926545">
          <v:rect id="_x0000_i1032" style="width:0;height:1.5pt" o:hralign="center" o:hrstd="t" o:hr="t" fillcolor="#a0a0a0" stroked="f"/>
        </w:pict>
      </w:r>
    </w:p>
    <w:p w14:paraId="117C4EB0" w14:textId="3A6275F5" w:rsidR="00B730A9" w:rsidRPr="00B730A9" w:rsidRDefault="00B730A9" w:rsidP="00B730A9">
      <w:pPr>
        <w:rPr>
          <w:rFonts w:ascii="Arial" w:hAnsi="Arial" w:cs="Arial"/>
          <w:b/>
          <w:bCs/>
          <w:sz w:val="24"/>
          <w:szCs w:val="24"/>
        </w:rPr>
      </w:pPr>
      <w:r w:rsidRPr="00B730A9">
        <w:rPr>
          <w:rFonts w:ascii="Arial" w:hAnsi="Arial" w:cs="Arial"/>
          <w:b/>
          <w:bCs/>
          <w:sz w:val="24"/>
          <w:szCs w:val="24"/>
        </w:rPr>
        <w:t>Recommendation</w:t>
      </w:r>
    </w:p>
    <w:p w14:paraId="60570B69"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Based on operational analysis, fiscal modeling, facility conditions, and input from CAL FIRE leadership, Scenario 1 — Maintain Two Stations is the recommended service model for the Cameron Park Community Services District. This configuration provides the most effective and reliable framework for delivering fire and emergency medical services to the community.</w:t>
      </w:r>
    </w:p>
    <w:p w14:paraId="065DA938" w14:textId="77777777" w:rsidR="00B730A9" w:rsidRPr="00B730A9" w:rsidRDefault="00B730A9" w:rsidP="00B730A9">
      <w:pPr>
        <w:rPr>
          <w:rFonts w:ascii="Arial" w:hAnsi="Arial" w:cs="Arial"/>
          <w:sz w:val="24"/>
          <w:szCs w:val="24"/>
        </w:rPr>
      </w:pPr>
      <w:r w:rsidRPr="00B730A9">
        <w:rPr>
          <w:rFonts w:ascii="Arial" w:hAnsi="Arial" w:cs="Arial"/>
          <w:sz w:val="24"/>
          <w:szCs w:val="24"/>
        </w:rPr>
        <w:t>This approach:</w:t>
      </w:r>
    </w:p>
    <w:p w14:paraId="5231764D" w14:textId="77777777" w:rsidR="00B730A9" w:rsidRPr="00B730A9" w:rsidRDefault="00B730A9" w:rsidP="00B730A9">
      <w:pPr>
        <w:numPr>
          <w:ilvl w:val="0"/>
          <w:numId w:val="43"/>
        </w:numPr>
        <w:rPr>
          <w:rFonts w:ascii="Arial" w:hAnsi="Arial" w:cs="Arial"/>
          <w:sz w:val="24"/>
          <w:szCs w:val="24"/>
        </w:rPr>
      </w:pPr>
      <w:r w:rsidRPr="00B730A9">
        <w:rPr>
          <w:rFonts w:ascii="Arial" w:hAnsi="Arial" w:cs="Arial"/>
          <w:sz w:val="24"/>
          <w:szCs w:val="24"/>
        </w:rPr>
        <w:t>Ensures adequate geographic coverage districtwide</w:t>
      </w:r>
    </w:p>
    <w:p w14:paraId="4E944136" w14:textId="77777777" w:rsidR="00B730A9" w:rsidRPr="00B730A9" w:rsidRDefault="00B730A9" w:rsidP="00B730A9">
      <w:pPr>
        <w:numPr>
          <w:ilvl w:val="0"/>
          <w:numId w:val="43"/>
        </w:numPr>
        <w:rPr>
          <w:rFonts w:ascii="Arial" w:hAnsi="Arial" w:cs="Arial"/>
          <w:sz w:val="24"/>
          <w:szCs w:val="24"/>
        </w:rPr>
      </w:pPr>
      <w:r w:rsidRPr="00B730A9">
        <w:rPr>
          <w:rFonts w:ascii="Arial" w:hAnsi="Arial" w:cs="Arial"/>
          <w:sz w:val="24"/>
          <w:szCs w:val="24"/>
        </w:rPr>
        <w:t>Provides operational redundancy for concurrent or major incidents</w:t>
      </w:r>
    </w:p>
    <w:p w14:paraId="28969B45" w14:textId="77777777" w:rsidR="00B730A9" w:rsidRPr="00B730A9" w:rsidRDefault="00B730A9" w:rsidP="00B730A9">
      <w:pPr>
        <w:numPr>
          <w:ilvl w:val="0"/>
          <w:numId w:val="43"/>
        </w:numPr>
        <w:rPr>
          <w:rFonts w:ascii="Arial" w:hAnsi="Arial" w:cs="Arial"/>
          <w:sz w:val="24"/>
          <w:szCs w:val="24"/>
        </w:rPr>
      </w:pPr>
      <w:r w:rsidRPr="00B730A9">
        <w:rPr>
          <w:rFonts w:ascii="Arial" w:hAnsi="Arial" w:cs="Arial"/>
          <w:sz w:val="24"/>
          <w:szCs w:val="24"/>
        </w:rPr>
        <w:t>Aligns with CAL FIRE operational standards and deployment practices</w:t>
      </w:r>
    </w:p>
    <w:p w14:paraId="34CF7A10" w14:textId="77777777" w:rsidR="00B730A9" w:rsidRPr="00B730A9" w:rsidRDefault="00B730A9" w:rsidP="00B730A9">
      <w:pPr>
        <w:numPr>
          <w:ilvl w:val="0"/>
          <w:numId w:val="43"/>
        </w:numPr>
        <w:rPr>
          <w:rFonts w:ascii="Arial" w:hAnsi="Arial" w:cs="Arial"/>
          <w:sz w:val="24"/>
          <w:szCs w:val="24"/>
        </w:rPr>
      </w:pPr>
      <w:r w:rsidRPr="00B730A9">
        <w:rPr>
          <w:rFonts w:ascii="Arial" w:hAnsi="Arial" w:cs="Arial"/>
          <w:sz w:val="24"/>
          <w:szCs w:val="24"/>
        </w:rPr>
        <w:t>Supports community expectations for service reliability</w:t>
      </w:r>
    </w:p>
    <w:p w14:paraId="168A830B" w14:textId="77777777" w:rsidR="00B730A9" w:rsidRPr="00B730A9" w:rsidRDefault="00B730A9" w:rsidP="00B730A9">
      <w:pPr>
        <w:numPr>
          <w:ilvl w:val="0"/>
          <w:numId w:val="43"/>
        </w:numPr>
        <w:rPr>
          <w:rFonts w:ascii="Arial" w:hAnsi="Arial" w:cs="Arial"/>
          <w:sz w:val="24"/>
          <w:szCs w:val="24"/>
        </w:rPr>
      </w:pPr>
      <w:r w:rsidRPr="00B730A9">
        <w:rPr>
          <w:rFonts w:ascii="Arial" w:hAnsi="Arial" w:cs="Arial"/>
          <w:sz w:val="24"/>
          <w:szCs w:val="24"/>
        </w:rPr>
        <w:t>Maintains long-term system stability and operational resilience</w:t>
      </w:r>
    </w:p>
    <w:p w14:paraId="5AD1FE8F" w14:textId="77777777" w:rsidR="00B730A9" w:rsidRPr="00B730A9" w:rsidRDefault="00B730A9" w:rsidP="00B730A9">
      <w:pPr>
        <w:rPr>
          <w:rFonts w:ascii="Arial" w:hAnsi="Arial" w:cs="Arial"/>
          <w:b/>
          <w:bCs/>
          <w:sz w:val="24"/>
          <w:szCs w:val="24"/>
        </w:rPr>
      </w:pPr>
      <w:r w:rsidRPr="00B730A9">
        <w:rPr>
          <w:rFonts w:ascii="Arial" w:hAnsi="Arial" w:cs="Arial"/>
          <w:b/>
          <w:bCs/>
          <w:sz w:val="24"/>
          <w:szCs w:val="24"/>
        </w:rPr>
        <w:t>Alignment with Regional Initiatives</w:t>
      </w:r>
    </w:p>
    <w:p w14:paraId="451F8B51"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 xml:space="preserve">The CPCSD Board of Directors has formally expressed </w:t>
      </w:r>
      <w:r w:rsidRPr="00B730A9">
        <w:rPr>
          <w:rFonts w:ascii="Arial" w:hAnsi="Arial" w:cs="Arial"/>
          <w:b/>
          <w:bCs/>
          <w:sz w:val="24"/>
          <w:szCs w:val="24"/>
        </w:rPr>
        <w:t>full support for the El Dorado Ready Initiative</w:t>
      </w:r>
      <w:r w:rsidRPr="00B730A9">
        <w:rPr>
          <w:rFonts w:ascii="Arial" w:hAnsi="Arial" w:cs="Arial"/>
          <w:sz w:val="24"/>
          <w:szCs w:val="24"/>
        </w:rPr>
        <w:t xml:space="preserve">, recognizing its importance in strengthening countywide wildfire readiness, emergency response coordination, and regional resilience. The Initiative </w:t>
      </w:r>
      <w:r w:rsidRPr="00B730A9">
        <w:rPr>
          <w:rFonts w:ascii="Arial" w:hAnsi="Arial" w:cs="Arial"/>
          <w:sz w:val="24"/>
          <w:szCs w:val="24"/>
        </w:rPr>
        <w:lastRenderedPageBreak/>
        <w:t>directly complements CPCSD’s two-station deployment model and supports the District’s long-term sustainability and risk-reduction goals.</w:t>
      </w:r>
    </w:p>
    <w:p w14:paraId="66307452" w14:textId="77777777" w:rsidR="00B730A9" w:rsidRPr="00B730A9" w:rsidRDefault="00B730A9" w:rsidP="00B730A9">
      <w:pPr>
        <w:jc w:val="both"/>
        <w:rPr>
          <w:rFonts w:ascii="Arial" w:hAnsi="Arial" w:cs="Arial"/>
          <w:sz w:val="24"/>
          <w:szCs w:val="24"/>
        </w:rPr>
      </w:pPr>
      <w:r w:rsidRPr="00B730A9">
        <w:rPr>
          <w:rFonts w:ascii="Arial" w:hAnsi="Arial" w:cs="Arial"/>
          <w:sz w:val="24"/>
          <w:szCs w:val="24"/>
        </w:rPr>
        <w:t>CPCSD’s endorsement reflects the Board’s commitment to collaborative regional planning and its recognition that successful emergency response depends on strong partnerships and countywide investment in preparedness and mitigation.</w:t>
      </w:r>
    </w:p>
    <w:p w14:paraId="743EFAE5" w14:textId="53362C87" w:rsidR="00B730A9" w:rsidRPr="00B730A9" w:rsidRDefault="00B730A9" w:rsidP="00B730A9">
      <w:pPr>
        <w:rPr>
          <w:rFonts w:ascii="Arial" w:hAnsi="Arial" w:cs="Arial"/>
          <w:sz w:val="24"/>
          <w:szCs w:val="24"/>
        </w:rPr>
      </w:pPr>
    </w:p>
    <w:p w14:paraId="2F2C12E9" w14:textId="77777777" w:rsidR="00B730A9" w:rsidRPr="00B730A9" w:rsidRDefault="00000000" w:rsidP="00B730A9">
      <w:pPr>
        <w:rPr>
          <w:rFonts w:ascii="Arial" w:hAnsi="Arial" w:cs="Arial"/>
          <w:sz w:val="24"/>
          <w:szCs w:val="24"/>
        </w:rPr>
      </w:pPr>
      <w:r>
        <w:rPr>
          <w:rFonts w:ascii="Arial" w:hAnsi="Arial" w:cs="Arial"/>
          <w:sz w:val="24"/>
          <w:szCs w:val="24"/>
        </w:rPr>
        <w:pict w14:anchorId="1543BD0B">
          <v:rect id="_x0000_i1033" style="width:0;height:1.5pt" o:hralign="center" o:hrstd="t" o:hr="t" fillcolor="#a0a0a0" stroked="f"/>
        </w:pict>
      </w:r>
    </w:p>
    <w:p w14:paraId="48DE47E4" w14:textId="77777777" w:rsidR="00B730A9" w:rsidRPr="00B730A9" w:rsidRDefault="00B730A9" w:rsidP="00B730A9">
      <w:pPr>
        <w:rPr>
          <w:rFonts w:ascii="Arial" w:hAnsi="Arial" w:cs="Arial"/>
          <w:b/>
          <w:bCs/>
          <w:sz w:val="24"/>
          <w:szCs w:val="24"/>
        </w:rPr>
      </w:pPr>
      <w:r w:rsidRPr="00B730A9">
        <w:rPr>
          <w:rFonts w:ascii="Arial" w:hAnsi="Arial" w:cs="Arial"/>
          <w:b/>
          <w:bCs/>
          <w:sz w:val="24"/>
          <w:szCs w:val="24"/>
        </w:rPr>
        <w:t>Parks &amp; Recreation Bond Coordination</w:t>
      </w:r>
    </w:p>
    <w:p w14:paraId="1278C81A" w14:textId="77777777" w:rsidR="00B730A9" w:rsidRPr="00B730A9" w:rsidRDefault="00B730A9" w:rsidP="00B730A9">
      <w:pPr>
        <w:rPr>
          <w:rFonts w:ascii="Arial" w:hAnsi="Arial" w:cs="Arial"/>
          <w:sz w:val="24"/>
          <w:szCs w:val="24"/>
        </w:rPr>
      </w:pPr>
      <w:r w:rsidRPr="00B730A9">
        <w:rPr>
          <w:rFonts w:ascii="Arial" w:hAnsi="Arial" w:cs="Arial"/>
          <w:sz w:val="24"/>
          <w:szCs w:val="24"/>
        </w:rPr>
        <w:t>The current Community Center GO Bond (approximately $750,000 annually) expires in 2030.</w:t>
      </w:r>
    </w:p>
    <w:p w14:paraId="3EA151DB" w14:textId="77777777" w:rsidR="00B730A9" w:rsidRPr="00B730A9" w:rsidRDefault="00B730A9" w:rsidP="00B730A9">
      <w:pPr>
        <w:rPr>
          <w:rFonts w:ascii="Arial" w:hAnsi="Arial" w:cs="Arial"/>
          <w:sz w:val="24"/>
          <w:szCs w:val="24"/>
        </w:rPr>
      </w:pPr>
      <w:r w:rsidRPr="00B730A9">
        <w:rPr>
          <w:rFonts w:ascii="Arial" w:hAnsi="Arial" w:cs="Arial"/>
          <w:sz w:val="24"/>
          <w:szCs w:val="24"/>
        </w:rPr>
        <w:t>Staff recommends exploring a Parks and Recreation bond measure aligned with the GO bond expiration, to:</w:t>
      </w:r>
    </w:p>
    <w:p w14:paraId="4DCE122E" w14:textId="77777777" w:rsidR="00B730A9" w:rsidRPr="00B730A9" w:rsidRDefault="00B730A9" w:rsidP="00B730A9">
      <w:pPr>
        <w:numPr>
          <w:ilvl w:val="0"/>
          <w:numId w:val="36"/>
        </w:numPr>
        <w:rPr>
          <w:rFonts w:ascii="Arial" w:hAnsi="Arial" w:cs="Arial"/>
          <w:sz w:val="24"/>
          <w:szCs w:val="24"/>
        </w:rPr>
      </w:pPr>
      <w:r w:rsidRPr="00B730A9">
        <w:rPr>
          <w:rFonts w:ascii="Arial" w:hAnsi="Arial" w:cs="Arial"/>
          <w:sz w:val="24"/>
          <w:szCs w:val="24"/>
        </w:rPr>
        <w:t>Avoid overlapping tax burdens</w:t>
      </w:r>
    </w:p>
    <w:p w14:paraId="759C3D75" w14:textId="77777777" w:rsidR="00B730A9" w:rsidRPr="00B730A9" w:rsidRDefault="00B730A9" w:rsidP="00B730A9">
      <w:pPr>
        <w:numPr>
          <w:ilvl w:val="0"/>
          <w:numId w:val="36"/>
        </w:numPr>
        <w:rPr>
          <w:rFonts w:ascii="Arial" w:hAnsi="Arial" w:cs="Arial"/>
          <w:sz w:val="24"/>
          <w:szCs w:val="24"/>
        </w:rPr>
      </w:pPr>
      <w:r w:rsidRPr="00B730A9">
        <w:rPr>
          <w:rFonts w:ascii="Arial" w:hAnsi="Arial" w:cs="Arial"/>
          <w:sz w:val="24"/>
          <w:szCs w:val="24"/>
        </w:rPr>
        <w:t>Create a tax-neutral transition</w:t>
      </w:r>
    </w:p>
    <w:p w14:paraId="05EEAE0A" w14:textId="77777777" w:rsidR="00B730A9" w:rsidRPr="00B730A9" w:rsidRDefault="00B730A9" w:rsidP="00B730A9">
      <w:pPr>
        <w:numPr>
          <w:ilvl w:val="0"/>
          <w:numId w:val="36"/>
        </w:numPr>
        <w:rPr>
          <w:rFonts w:ascii="Arial" w:hAnsi="Arial" w:cs="Arial"/>
          <w:sz w:val="24"/>
          <w:szCs w:val="24"/>
        </w:rPr>
      </w:pPr>
      <w:r w:rsidRPr="00B730A9">
        <w:rPr>
          <w:rFonts w:ascii="Arial" w:hAnsi="Arial" w:cs="Arial"/>
          <w:sz w:val="24"/>
          <w:szCs w:val="24"/>
        </w:rPr>
        <w:t>Support long-term facility reinvestment</w:t>
      </w:r>
    </w:p>
    <w:p w14:paraId="309764EA" w14:textId="77777777" w:rsidR="00B730A9" w:rsidRPr="00B730A9" w:rsidRDefault="00000000" w:rsidP="00B730A9">
      <w:pPr>
        <w:rPr>
          <w:rFonts w:ascii="Arial" w:hAnsi="Arial" w:cs="Arial"/>
          <w:sz w:val="24"/>
          <w:szCs w:val="24"/>
        </w:rPr>
      </w:pPr>
      <w:r>
        <w:rPr>
          <w:rFonts w:ascii="Arial" w:hAnsi="Arial" w:cs="Arial"/>
          <w:sz w:val="24"/>
          <w:szCs w:val="24"/>
        </w:rPr>
        <w:pict w14:anchorId="62B81294">
          <v:rect id="_x0000_i1034" style="width:0;height:1.5pt" o:hralign="center" o:hrstd="t" o:hr="t" fillcolor="#a0a0a0" stroked="f"/>
        </w:pict>
      </w:r>
    </w:p>
    <w:p w14:paraId="3B073016" w14:textId="6117BDDA" w:rsidR="00B730A9" w:rsidRPr="00B730A9" w:rsidRDefault="00B730A9" w:rsidP="00B730A9">
      <w:pPr>
        <w:rPr>
          <w:rFonts w:ascii="Arial" w:hAnsi="Arial" w:cs="Arial"/>
          <w:b/>
          <w:bCs/>
          <w:sz w:val="24"/>
          <w:szCs w:val="24"/>
        </w:rPr>
      </w:pPr>
      <w:r w:rsidRPr="00B730A9">
        <w:rPr>
          <w:rFonts w:ascii="Arial" w:hAnsi="Arial" w:cs="Arial"/>
          <w:b/>
          <w:bCs/>
          <w:sz w:val="24"/>
          <w:szCs w:val="24"/>
        </w:rPr>
        <w:t>Bond &amp; Funding Strategy</w:t>
      </w:r>
    </w:p>
    <w:p w14:paraId="1DCC95FC" w14:textId="77777777" w:rsidR="00B730A9" w:rsidRPr="00B730A9" w:rsidRDefault="00B730A9" w:rsidP="00B730A9">
      <w:pPr>
        <w:rPr>
          <w:rFonts w:ascii="Arial" w:hAnsi="Arial" w:cs="Arial"/>
          <w:sz w:val="24"/>
          <w:szCs w:val="24"/>
        </w:rPr>
      </w:pPr>
      <w:r w:rsidRPr="00B730A9">
        <w:rPr>
          <w:rFonts w:ascii="Arial" w:hAnsi="Arial" w:cs="Arial"/>
          <w:sz w:val="24"/>
          <w:szCs w:val="24"/>
        </w:rPr>
        <w:t>Fire Service Funding</w:t>
      </w:r>
    </w:p>
    <w:p w14:paraId="4CA29DCB" w14:textId="77777777" w:rsidR="00B730A9" w:rsidRPr="00B730A9" w:rsidRDefault="00B730A9" w:rsidP="00B730A9">
      <w:pPr>
        <w:rPr>
          <w:rFonts w:ascii="Arial" w:hAnsi="Arial" w:cs="Arial"/>
          <w:sz w:val="24"/>
          <w:szCs w:val="24"/>
        </w:rPr>
      </w:pPr>
      <w:r w:rsidRPr="00B730A9">
        <w:rPr>
          <w:rFonts w:ascii="Arial" w:hAnsi="Arial" w:cs="Arial"/>
          <w:sz w:val="24"/>
          <w:szCs w:val="24"/>
        </w:rPr>
        <w:t>A fire-only parcel tax is not recommended, as the District lacks a clearly defined capital need or compelling “why” to support such a measure.</w:t>
      </w:r>
    </w:p>
    <w:p w14:paraId="158C45E5" w14:textId="77777777" w:rsidR="00B730A9" w:rsidRPr="00B730A9" w:rsidRDefault="00B730A9" w:rsidP="00B730A9">
      <w:pPr>
        <w:rPr>
          <w:rFonts w:ascii="Arial" w:hAnsi="Arial" w:cs="Arial"/>
          <w:sz w:val="24"/>
          <w:szCs w:val="24"/>
        </w:rPr>
      </w:pPr>
      <w:r w:rsidRPr="00B730A9">
        <w:rPr>
          <w:rFonts w:ascii="Arial" w:hAnsi="Arial" w:cs="Arial"/>
          <w:sz w:val="24"/>
          <w:szCs w:val="24"/>
        </w:rPr>
        <w:t>Future capital-related fire funding mechanisms may be explored as facility needs evolve.</w:t>
      </w:r>
    </w:p>
    <w:p w14:paraId="4162312B" w14:textId="77777777" w:rsidR="00B730A9" w:rsidRPr="00B730A9" w:rsidRDefault="00B730A9" w:rsidP="00B730A9">
      <w:pPr>
        <w:rPr>
          <w:rFonts w:ascii="Arial" w:hAnsi="Arial" w:cs="Arial"/>
          <w:sz w:val="24"/>
          <w:szCs w:val="24"/>
        </w:rPr>
      </w:pPr>
      <w:r w:rsidRPr="00B730A9">
        <w:rPr>
          <w:rFonts w:ascii="Arial" w:hAnsi="Arial" w:cs="Arial"/>
          <w:sz w:val="24"/>
          <w:szCs w:val="24"/>
        </w:rPr>
        <w:t>Parks &amp; Recreation Funding</w:t>
      </w:r>
    </w:p>
    <w:p w14:paraId="6F050354" w14:textId="77777777" w:rsidR="00B730A9" w:rsidRPr="00B730A9" w:rsidRDefault="00B730A9" w:rsidP="00B730A9">
      <w:pPr>
        <w:rPr>
          <w:rFonts w:ascii="Arial" w:hAnsi="Arial" w:cs="Arial"/>
          <w:sz w:val="24"/>
          <w:szCs w:val="24"/>
        </w:rPr>
      </w:pPr>
      <w:r w:rsidRPr="00B730A9">
        <w:rPr>
          <w:rFonts w:ascii="Arial" w:hAnsi="Arial" w:cs="Arial"/>
          <w:sz w:val="24"/>
          <w:szCs w:val="24"/>
        </w:rPr>
        <w:t>A Parks &amp; Recreation bond measure in 2030 should be explored to maintain infrastructure funding without increasing overall taxpayer burden.</w:t>
      </w:r>
    </w:p>
    <w:p w14:paraId="2E5D9D03" w14:textId="77777777" w:rsidR="00B730A9" w:rsidRPr="00B730A9" w:rsidRDefault="00000000" w:rsidP="00B730A9">
      <w:pPr>
        <w:rPr>
          <w:rFonts w:ascii="Arial" w:hAnsi="Arial" w:cs="Arial"/>
          <w:sz w:val="24"/>
          <w:szCs w:val="24"/>
        </w:rPr>
      </w:pPr>
      <w:r>
        <w:rPr>
          <w:rFonts w:ascii="Arial" w:hAnsi="Arial" w:cs="Arial"/>
          <w:sz w:val="24"/>
          <w:szCs w:val="24"/>
        </w:rPr>
        <w:pict w14:anchorId="4AADB1D3">
          <v:rect id="_x0000_i1035" style="width:0;height:1.5pt" o:hralign="center" o:hrstd="t" o:hr="t" fillcolor="#a0a0a0" stroked="f"/>
        </w:pict>
      </w:r>
    </w:p>
    <w:p w14:paraId="585D3A5B" w14:textId="608E2831" w:rsidR="00B730A9" w:rsidRPr="00B730A9" w:rsidRDefault="00B730A9" w:rsidP="00B730A9">
      <w:pPr>
        <w:rPr>
          <w:rFonts w:ascii="Arial" w:hAnsi="Arial" w:cs="Arial"/>
          <w:b/>
          <w:bCs/>
          <w:sz w:val="24"/>
          <w:szCs w:val="24"/>
        </w:rPr>
      </w:pPr>
      <w:r w:rsidRPr="00B730A9">
        <w:rPr>
          <w:rFonts w:ascii="Arial" w:hAnsi="Arial" w:cs="Arial"/>
          <w:b/>
          <w:bCs/>
          <w:sz w:val="24"/>
          <w:szCs w:val="24"/>
        </w:rPr>
        <w:t>Proposed Timeline</w:t>
      </w:r>
    </w:p>
    <w:p w14:paraId="0B948CBA" w14:textId="77777777" w:rsidR="00B730A9" w:rsidRPr="00B730A9" w:rsidRDefault="00B730A9" w:rsidP="00B730A9">
      <w:pPr>
        <w:rPr>
          <w:rFonts w:ascii="Arial" w:hAnsi="Arial" w:cs="Arial"/>
          <w:sz w:val="24"/>
          <w:szCs w:val="24"/>
        </w:rPr>
      </w:pPr>
      <w:r w:rsidRPr="00B730A9">
        <w:rPr>
          <w:rFonts w:ascii="Arial" w:hAnsi="Arial" w:cs="Arial"/>
          <w:sz w:val="24"/>
          <w:szCs w:val="24"/>
        </w:rPr>
        <w:t>2025</w:t>
      </w:r>
    </w:p>
    <w:p w14:paraId="5CE782FA" w14:textId="77777777" w:rsidR="00B730A9" w:rsidRPr="00B730A9" w:rsidRDefault="00B730A9" w:rsidP="00B730A9">
      <w:pPr>
        <w:numPr>
          <w:ilvl w:val="0"/>
          <w:numId w:val="37"/>
        </w:numPr>
        <w:rPr>
          <w:rFonts w:ascii="Arial" w:hAnsi="Arial" w:cs="Arial"/>
          <w:sz w:val="24"/>
          <w:szCs w:val="24"/>
        </w:rPr>
      </w:pPr>
      <w:r w:rsidRPr="00B730A9">
        <w:rPr>
          <w:rFonts w:ascii="Arial" w:hAnsi="Arial" w:cs="Arial"/>
          <w:sz w:val="24"/>
          <w:szCs w:val="24"/>
        </w:rPr>
        <w:t>Finalize plan direction and engage CAL FIRE</w:t>
      </w:r>
    </w:p>
    <w:p w14:paraId="38988EA2" w14:textId="77777777" w:rsidR="00B730A9" w:rsidRPr="00B730A9" w:rsidRDefault="00B730A9" w:rsidP="00B730A9">
      <w:pPr>
        <w:numPr>
          <w:ilvl w:val="0"/>
          <w:numId w:val="37"/>
        </w:numPr>
        <w:rPr>
          <w:rFonts w:ascii="Arial" w:hAnsi="Arial" w:cs="Arial"/>
          <w:sz w:val="24"/>
          <w:szCs w:val="24"/>
        </w:rPr>
      </w:pPr>
      <w:r w:rsidRPr="00B730A9">
        <w:rPr>
          <w:rFonts w:ascii="Arial" w:hAnsi="Arial" w:cs="Arial"/>
          <w:sz w:val="24"/>
          <w:szCs w:val="24"/>
        </w:rPr>
        <w:t>Begin site evaluation for future Station 88 replacement</w:t>
      </w:r>
    </w:p>
    <w:p w14:paraId="4FA4A036" w14:textId="77777777" w:rsidR="00B730A9" w:rsidRPr="00B730A9" w:rsidRDefault="00B730A9" w:rsidP="00B730A9">
      <w:pPr>
        <w:numPr>
          <w:ilvl w:val="0"/>
          <w:numId w:val="37"/>
        </w:numPr>
        <w:rPr>
          <w:rFonts w:ascii="Arial" w:hAnsi="Arial" w:cs="Arial"/>
          <w:sz w:val="24"/>
          <w:szCs w:val="24"/>
        </w:rPr>
      </w:pPr>
      <w:r w:rsidRPr="00B730A9">
        <w:rPr>
          <w:rFonts w:ascii="Arial" w:hAnsi="Arial" w:cs="Arial"/>
          <w:sz w:val="24"/>
          <w:szCs w:val="24"/>
        </w:rPr>
        <w:t>Initiate regional partnership discussions</w:t>
      </w:r>
    </w:p>
    <w:p w14:paraId="79A31CC4" w14:textId="77777777" w:rsidR="00B730A9" w:rsidRPr="00B730A9" w:rsidRDefault="00B730A9" w:rsidP="00B730A9">
      <w:pPr>
        <w:rPr>
          <w:rFonts w:ascii="Arial" w:hAnsi="Arial" w:cs="Arial"/>
          <w:sz w:val="24"/>
          <w:szCs w:val="24"/>
        </w:rPr>
      </w:pPr>
      <w:r w:rsidRPr="00B730A9">
        <w:rPr>
          <w:rFonts w:ascii="Arial" w:hAnsi="Arial" w:cs="Arial"/>
          <w:sz w:val="24"/>
          <w:szCs w:val="24"/>
        </w:rPr>
        <w:lastRenderedPageBreak/>
        <w:t>2026</w:t>
      </w:r>
    </w:p>
    <w:p w14:paraId="019393A7" w14:textId="77777777" w:rsidR="00B730A9" w:rsidRPr="00B730A9" w:rsidRDefault="00B730A9" w:rsidP="00B730A9">
      <w:pPr>
        <w:numPr>
          <w:ilvl w:val="0"/>
          <w:numId w:val="38"/>
        </w:numPr>
        <w:rPr>
          <w:rFonts w:ascii="Arial" w:hAnsi="Arial" w:cs="Arial"/>
          <w:sz w:val="24"/>
          <w:szCs w:val="24"/>
        </w:rPr>
      </w:pPr>
      <w:r w:rsidRPr="00B730A9">
        <w:rPr>
          <w:rFonts w:ascii="Arial" w:hAnsi="Arial" w:cs="Arial"/>
          <w:sz w:val="24"/>
          <w:szCs w:val="24"/>
        </w:rPr>
        <w:t>Conduct polling and financial modeling</w:t>
      </w:r>
    </w:p>
    <w:p w14:paraId="1594184E" w14:textId="77777777" w:rsidR="00B730A9" w:rsidRPr="00B730A9" w:rsidRDefault="00B730A9" w:rsidP="00B730A9">
      <w:pPr>
        <w:numPr>
          <w:ilvl w:val="0"/>
          <w:numId w:val="38"/>
        </w:numPr>
        <w:rPr>
          <w:rFonts w:ascii="Arial" w:hAnsi="Arial" w:cs="Arial"/>
          <w:sz w:val="24"/>
          <w:szCs w:val="24"/>
        </w:rPr>
      </w:pPr>
      <w:r w:rsidRPr="00B730A9">
        <w:rPr>
          <w:rFonts w:ascii="Arial" w:hAnsi="Arial" w:cs="Arial"/>
          <w:sz w:val="24"/>
          <w:szCs w:val="24"/>
        </w:rPr>
        <w:t>Evaluate fire and parks funding strategies</w:t>
      </w:r>
    </w:p>
    <w:p w14:paraId="6D75295F" w14:textId="77777777" w:rsidR="00B730A9" w:rsidRPr="00B730A9" w:rsidRDefault="00B730A9" w:rsidP="00B730A9">
      <w:pPr>
        <w:numPr>
          <w:ilvl w:val="0"/>
          <w:numId w:val="38"/>
        </w:numPr>
        <w:rPr>
          <w:rFonts w:ascii="Arial" w:hAnsi="Arial" w:cs="Arial"/>
          <w:sz w:val="24"/>
          <w:szCs w:val="24"/>
        </w:rPr>
      </w:pPr>
      <w:r w:rsidRPr="00B730A9">
        <w:rPr>
          <w:rFonts w:ascii="Arial" w:hAnsi="Arial" w:cs="Arial"/>
          <w:sz w:val="24"/>
          <w:szCs w:val="24"/>
        </w:rPr>
        <w:t>Advance capital improvement planning</w:t>
      </w:r>
    </w:p>
    <w:p w14:paraId="42C12054" w14:textId="77777777" w:rsidR="00B730A9" w:rsidRPr="00B730A9" w:rsidRDefault="00B730A9" w:rsidP="00B730A9">
      <w:pPr>
        <w:rPr>
          <w:rFonts w:ascii="Arial" w:hAnsi="Arial" w:cs="Arial"/>
          <w:sz w:val="24"/>
          <w:szCs w:val="24"/>
        </w:rPr>
      </w:pPr>
      <w:r w:rsidRPr="00B730A9">
        <w:rPr>
          <w:rFonts w:ascii="Arial" w:hAnsi="Arial" w:cs="Arial"/>
          <w:sz w:val="24"/>
          <w:szCs w:val="24"/>
        </w:rPr>
        <w:t>2027</w:t>
      </w:r>
    </w:p>
    <w:p w14:paraId="06020DA9" w14:textId="77777777" w:rsidR="00B730A9" w:rsidRPr="00B730A9" w:rsidRDefault="00B730A9" w:rsidP="00B730A9">
      <w:pPr>
        <w:numPr>
          <w:ilvl w:val="0"/>
          <w:numId w:val="39"/>
        </w:numPr>
        <w:rPr>
          <w:rFonts w:ascii="Arial" w:hAnsi="Arial" w:cs="Arial"/>
          <w:sz w:val="24"/>
          <w:szCs w:val="24"/>
        </w:rPr>
      </w:pPr>
      <w:r w:rsidRPr="00B730A9">
        <w:rPr>
          <w:rFonts w:ascii="Arial" w:hAnsi="Arial" w:cs="Arial"/>
          <w:sz w:val="24"/>
          <w:szCs w:val="24"/>
        </w:rPr>
        <w:t>Refine ballot measure framework</w:t>
      </w:r>
    </w:p>
    <w:p w14:paraId="17D2C964" w14:textId="77777777" w:rsidR="00B730A9" w:rsidRPr="00B730A9" w:rsidRDefault="00B730A9" w:rsidP="00B730A9">
      <w:pPr>
        <w:numPr>
          <w:ilvl w:val="0"/>
          <w:numId w:val="39"/>
        </w:numPr>
        <w:rPr>
          <w:rFonts w:ascii="Arial" w:hAnsi="Arial" w:cs="Arial"/>
          <w:sz w:val="24"/>
          <w:szCs w:val="24"/>
        </w:rPr>
      </w:pPr>
      <w:r w:rsidRPr="00B730A9">
        <w:rPr>
          <w:rFonts w:ascii="Arial" w:hAnsi="Arial" w:cs="Arial"/>
          <w:sz w:val="24"/>
          <w:szCs w:val="24"/>
        </w:rPr>
        <w:t>Begin public outreach and education</w:t>
      </w:r>
    </w:p>
    <w:p w14:paraId="0C84AF43" w14:textId="77777777" w:rsidR="00B730A9" w:rsidRPr="00B730A9" w:rsidRDefault="00B730A9" w:rsidP="00B730A9">
      <w:pPr>
        <w:rPr>
          <w:rFonts w:ascii="Arial" w:hAnsi="Arial" w:cs="Arial"/>
          <w:sz w:val="24"/>
          <w:szCs w:val="24"/>
        </w:rPr>
      </w:pPr>
      <w:r w:rsidRPr="00B730A9">
        <w:rPr>
          <w:rFonts w:ascii="Arial" w:hAnsi="Arial" w:cs="Arial"/>
          <w:sz w:val="24"/>
          <w:szCs w:val="24"/>
        </w:rPr>
        <w:t>2028</w:t>
      </w:r>
    </w:p>
    <w:p w14:paraId="59445E14" w14:textId="77777777" w:rsidR="00B730A9" w:rsidRPr="00B730A9" w:rsidRDefault="00B730A9" w:rsidP="00B730A9">
      <w:pPr>
        <w:numPr>
          <w:ilvl w:val="0"/>
          <w:numId w:val="40"/>
        </w:numPr>
        <w:rPr>
          <w:rFonts w:ascii="Arial" w:hAnsi="Arial" w:cs="Arial"/>
          <w:sz w:val="24"/>
          <w:szCs w:val="24"/>
        </w:rPr>
      </w:pPr>
      <w:r w:rsidRPr="00B730A9">
        <w:rPr>
          <w:rFonts w:ascii="Arial" w:hAnsi="Arial" w:cs="Arial"/>
          <w:sz w:val="24"/>
          <w:szCs w:val="24"/>
        </w:rPr>
        <w:t>Potential fire funding initiative (if justified and supported)</w:t>
      </w:r>
    </w:p>
    <w:p w14:paraId="2ED9FCB5" w14:textId="77777777" w:rsidR="00B730A9" w:rsidRPr="00B730A9" w:rsidRDefault="00B730A9" w:rsidP="00B730A9">
      <w:pPr>
        <w:rPr>
          <w:rFonts w:ascii="Arial" w:hAnsi="Arial" w:cs="Arial"/>
          <w:sz w:val="24"/>
          <w:szCs w:val="24"/>
        </w:rPr>
      </w:pPr>
      <w:r w:rsidRPr="00B730A9">
        <w:rPr>
          <w:rFonts w:ascii="Arial" w:hAnsi="Arial" w:cs="Arial"/>
          <w:sz w:val="24"/>
          <w:szCs w:val="24"/>
        </w:rPr>
        <w:t>2030</w:t>
      </w:r>
    </w:p>
    <w:p w14:paraId="7BC0849E" w14:textId="77777777" w:rsidR="00B730A9" w:rsidRPr="00B730A9" w:rsidRDefault="00B730A9" w:rsidP="00B730A9">
      <w:pPr>
        <w:numPr>
          <w:ilvl w:val="0"/>
          <w:numId w:val="41"/>
        </w:numPr>
        <w:rPr>
          <w:rFonts w:ascii="Arial" w:hAnsi="Arial" w:cs="Arial"/>
          <w:sz w:val="24"/>
          <w:szCs w:val="24"/>
        </w:rPr>
      </w:pPr>
      <w:r w:rsidRPr="00B730A9">
        <w:rPr>
          <w:rFonts w:ascii="Arial" w:hAnsi="Arial" w:cs="Arial"/>
          <w:sz w:val="24"/>
          <w:szCs w:val="24"/>
        </w:rPr>
        <w:t>Parks &amp; Recreation bond aligned with GO bond expiration</w:t>
      </w:r>
    </w:p>
    <w:p w14:paraId="23AC8B93" w14:textId="77777777" w:rsidR="00B730A9" w:rsidRPr="00B730A9" w:rsidRDefault="00000000" w:rsidP="00B730A9">
      <w:pPr>
        <w:rPr>
          <w:rFonts w:ascii="Arial" w:hAnsi="Arial" w:cs="Arial"/>
          <w:sz w:val="24"/>
          <w:szCs w:val="24"/>
        </w:rPr>
      </w:pPr>
      <w:r>
        <w:rPr>
          <w:rFonts w:ascii="Arial" w:hAnsi="Arial" w:cs="Arial"/>
          <w:sz w:val="24"/>
          <w:szCs w:val="24"/>
        </w:rPr>
        <w:pict w14:anchorId="048BC160">
          <v:rect id="_x0000_i1036" style="width:0;height:1.5pt" o:hralign="center" o:hrstd="t" o:hr="t" fillcolor="#a0a0a0" stroked="f"/>
        </w:pict>
      </w:r>
    </w:p>
    <w:p w14:paraId="2D7348B7" w14:textId="588F4A20" w:rsidR="00B730A9" w:rsidRPr="00B730A9" w:rsidRDefault="00B730A9" w:rsidP="00B730A9">
      <w:pPr>
        <w:rPr>
          <w:rFonts w:ascii="Arial" w:hAnsi="Arial" w:cs="Arial"/>
          <w:b/>
          <w:bCs/>
          <w:sz w:val="24"/>
          <w:szCs w:val="24"/>
        </w:rPr>
      </w:pPr>
      <w:r w:rsidRPr="00B730A9">
        <w:rPr>
          <w:rFonts w:ascii="Arial" w:hAnsi="Arial" w:cs="Arial"/>
          <w:b/>
          <w:bCs/>
          <w:sz w:val="24"/>
          <w:szCs w:val="24"/>
        </w:rPr>
        <w:t>Next Steps</w:t>
      </w:r>
    </w:p>
    <w:p w14:paraId="3AB964CE" w14:textId="77777777" w:rsidR="00B730A9" w:rsidRPr="00B730A9" w:rsidRDefault="00B730A9" w:rsidP="00B730A9">
      <w:pPr>
        <w:rPr>
          <w:rFonts w:ascii="Arial" w:hAnsi="Arial" w:cs="Arial"/>
          <w:sz w:val="24"/>
          <w:szCs w:val="24"/>
        </w:rPr>
      </w:pPr>
      <w:r w:rsidRPr="00B730A9">
        <w:rPr>
          <w:rFonts w:ascii="Arial" w:hAnsi="Arial" w:cs="Arial"/>
          <w:sz w:val="24"/>
          <w:szCs w:val="24"/>
        </w:rPr>
        <w:t>1. Engage CAL FIRE Leadership</w:t>
      </w:r>
    </w:p>
    <w:p w14:paraId="755D01E2" w14:textId="77777777" w:rsidR="00B730A9" w:rsidRPr="00B730A9" w:rsidRDefault="00B730A9" w:rsidP="00B730A9">
      <w:pPr>
        <w:ind w:left="270"/>
        <w:rPr>
          <w:rFonts w:ascii="Arial" w:hAnsi="Arial" w:cs="Arial"/>
          <w:sz w:val="24"/>
          <w:szCs w:val="24"/>
        </w:rPr>
      </w:pPr>
      <w:r w:rsidRPr="00B730A9">
        <w:rPr>
          <w:rFonts w:ascii="Arial" w:hAnsi="Arial" w:cs="Arial"/>
          <w:sz w:val="24"/>
          <w:szCs w:val="24"/>
        </w:rPr>
        <w:t>Review the plan, validate operational assumptions, and confirm Scenario 1 alignment.</w:t>
      </w:r>
    </w:p>
    <w:p w14:paraId="0C1E2D25" w14:textId="77777777" w:rsidR="00B730A9" w:rsidRPr="00B730A9" w:rsidRDefault="00B730A9" w:rsidP="00B730A9">
      <w:pPr>
        <w:rPr>
          <w:rFonts w:ascii="Arial" w:hAnsi="Arial" w:cs="Arial"/>
          <w:sz w:val="24"/>
          <w:szCs w:val="24"/>
        </w:rPr>
      </w:pPr>
      <w:r w:rsidRPr="00B730A9">
        <w:rPr>
          <w:rFonts w:ascii="Arial" w:hAnsi="Arial" w:cs="Arial"/>
          <w:sz w:val="24"/>
          <w:szCs w:val="24"/>
        </w:rPr>
        <w:t>2. Begin Long-Term Planning for a Future Station 88 Replacement</w:t>
      </w:r>
    </w:p>
    <w:p w14:paraId="7CB6A999" w14:textId="77777777" w:rsidR="00B730A9" w:rsidRPr="00B730A9" w:rsidRDefault="00B730A9" w:rsidP="00B730A9">
      <w:pPr>
        <w:ind w:firstLine="270"/>
        <w:rPr>
          <w:rFonts w:ascii="Arial" w:hAnsi="Arial" w:cs="Arial"/>
          <w:sz w:val="24"/>
          <w:szCs w:val="24"/>
        </w:rPr>
      </w:pPr>
      <w:r w:rsidRPr="00B730A9">
        <w:rPr>
          <w:rFonts w:ascii="Arial" w:hAnsi="Arial" w:cs="Arial"/>
          <w:sz w:val="24"/>
          <w:szCs w:val="24"/>
        </w:rPr>
        <w:t>Identify potential parcels; determine triggers for replacement.</w:t>
      </w:r>
    </w:p>
    <w:p w14:paraId="06954587" w14:textId="77777777" w:rsidR="00B730A9" w:rsidRPr="00B730A9" w:rsidRDefault="00B730A9" w:rsidP="00B730A9">
      <w:pPr>
        <w:rPr>
          <w:rFonts w:ascii="Arial" w:hAnsi="Arial" w:cs="Arial"/>
          <w:sz w:val="24"/>
          <w:szCs w:val="24"/>
        </w:rPr>
      </w:pPr>
      <w:r w:rsidRPr="00B730A9">
        <w:rPr>
          <w:rFonts w:ascii="Arial" w:hAnsi="Arial" w:cs="Arial"/>
          <w:sz w:val="24"/>
          <w:szCs w:val="24"/>
        </w:rPr>
        <w:t>3. Explore Regional Partnership Opportunities</w:t>
      </w:r>
    </w:p>
    <w:p w14:paraId="2798F1BC" w14:textId="77777777" w:rsidR="00B730A9" w:rsidRPr="00B730A9" w:rsidRDefault="00B730A9" w:rsidP="00B730A9">
      <w:pPr>
        <w:ind w:firstLine="270"/>
        <w:rPr>
          <w:rFonts w:ascii="Arial" w:hAnsi="Arial" w:cs="Arial"/>
          <w:sz w:val="24"/>
          <w:szCs w:val="24"/>
        </w:rPr>
      </w:pPr>
      <w:r w:rsidRPr="00B730A9">
        <w:rPr>
          <w:rFonts w:ascii="Arial" w:hAnsi="Arial" w:cs="Arial"/>
          <w:sz w:val="24"/>
          <w:szCs w:val="24"/>
        </w:rPr>
        <w:t>Evaluate shared facility concepts and JPA structures.</w:t>
      </w:r>
    </w:p>
    <w:p w14:paraId="317E7AC9" w14:textId="77777777" w:rsidR="00B730A9" w:rsidRPr="00B730A9" w:rsidRDefault="00B730A9" w:rsidP="00B730A9">
      <w:pPr>
        <w:rPr>
          <w:rFonts w:ascii="Arial" w:hAnsi="Arial" w:cs="Arial"/>
          <w:sz w:val="24"/>
          <w:szCs w:val="24"/>
        </w:rPr>
      </w:pPr>
      <w:r w:rsidRPr="00B730A9">
        <w:rPr>
          <w:rFonts w:ascii="Arial" w:hAnsi="Arial" w:cs="Arial"/>
          <w:sz w:val="24"/>
          <w:szCs w:val="24"/>
        </w:rPr>
        <w:t>4. Develop a Comprehensive Funding Strategy</w:t>
      </w:r>
    </w:p>
    <w:p w14:paraId="5C39416B" w14:textId="77777777" w:rsidR="00B730A9" w:rsidRPr="00B730A9" w:rsidRDefault="00B730A9" w:rsidP="00B730A9">
      <w:pPr>
        <w:numPr>
          <w:ilvl w:val="0"/>
          <w:numId w:val="42"/>
        </w:numPr>
        <w:rPr>
          <w:rFonts w:ascii="Arial" w:hAnsi="Arial" w:cs="Arial"/>
          <w:sz w:val="24"/>
          <w:szCs w:val="24"/>
        </w:rPr>
      </w:pPr>
      <w:r w:rsidRPr="00B730A9">
        <w:rPr>
          <w:rFonts w:ascii="Arial" w:hAnsi="Arial" w:cs="Arial"/>
          <w:sz w:val="24"/>
          <w:szCs w:val="24"/>
        </w:rPr>
        <w:t>Fire-only parcel tax is not recommended</w:t>
      </w:r>
    </w:p>
    <w:p w14:paraId="1B8F7BE4" w14:textId="77777777" w:rsidR="00B730A9" w:rsidRPr="00B730A9" w:rsidRDefault="00B730A9" w:rsidP="00B730A9">
      <w:pPr>
        <w:numPr>
          <w:ilvl w:val="0"/>
          <w:numId w:val="42"/>
        </w:numPr>
        <w:rPr>
          <w:rFonts w:ascii="Arial" w:hAnsi="Arial" w:cs="Arial"/>
          <w:sz w:val="24"/>
          <w:szCs w:val="24"/>
        </w:rPr>
      </w:pPr>
      <w:r w:rsidRPr="00B730A9">
        <w:rPr>
          <w:rFonts w:ascii="Arial" w:hAnsi="Arial" w:cs="Arial"/>
          <w:sz w:val="24"/>
          <w:szCs w:val="24"/>
        </w:rPr>
        <w:t>Assess future capital needs and funding mechanisms</w:t>
      </w:r>
    </w:p>
    <w:p w14:paraId="6A90A162" w14:textId="77777777" w:rsidR="00B730A9" w:rsidRPr="00B730A9" w:rsidRDefault="00B730A9" w:rsidP="00B730A9">
      <w:pPr>
        <w:numPr>
          <w:ilvl w:val="0"/>
          <w:numId w:val="42"/>
        </w:numPr>
        <w:rPr>
          <w:rFonts w:ascii="Arial" w:hAnsi="Arial" w:cs="Arial"/>
          <w:sz w:val="24"/>
          <w:szCs w:val="24"/>
        </w:rPr>
      </w:pPr>
      <w:r w:rsidRPr="00B730A9">
        <w:rPr>
          <w:rFonts w:ascii="Arial" w:hAnsi="Arial" w:cs="Arial"/>
          <w:sz w:val="24"/>
          <w:szCs w:val="24"/>
        </w:rPr>
        <w:t>Begin planning for 2030 Parks bond</w:t>
      </w:r>
    </w:p>
    <w:p w14:paraId="498C1859" w14:textId="77777777" w:rsidR="00B730A9" w:rsidRPr="00B730A9" w:rsidRDefault="00B730A9" w:rsidP="00B730A9">
      <w:pPr>
        <w:rPr>
          <w:rFonts w:ascii="Arial" w:hAnsi="Arial" w:cs="Arial"/>
          <w:sz w:val="24"/>
          <w:szCs w:val="24"/>
        </w:rPr>
      </w:pPr>
      <w:r w:rsidRPr="00B730A9">
        <w:rPr>
          <w:rFonts w:ascii="Arial" w:hAnsi="Arial" w:cs="Arial"/>
          <w:sz w:val="24"/>
          <w:szCs w:val="24"/>
        </w:rPr>
        <w:t>5. Establish a Multi-Year Capital Improvement Plan</w:t>
      </w:r>
    </w:p>
    <w:p w14:paraId="1E8EEFD1" w14:textId="77777777" w:rsidR="00B730A9" w:rsidRPr="00B730A9" w:rsidRDefault="00B730A9" w:rsidP="00B730A9">
      <w:pPr>
        <w:ind w:firstLine="270"/>
        <w:rPr>
          <w:rFonts w:ascii="Arial" w:hAnsi="Arial" w:cs="Arial"/>
          <w:sz w:val="24"/>
          <w:szCs w:val="24"/>
        </w:rPr>
      </w:pPr>
      <w:r w:rsidRPr="00B730A9">
        <w:rPr>
          <w:rFonts w:ascii="Arial" w:hAnsi="Arial" w:cs="Arial"/>
          <w:sz w:val="24"/>
          <w:szCs w:val="24"/>
        </w:rPr>
        <w:t>Identify modernization needs for both stations.</w:t>
      </w:r>
    </w:p>
    <w:p w14:paraId="6C92E476" w14:textId="77777777" w:rsidR="00B730A9" w:rsidRPr="00B730A9" w:rsidRDefault="00B730A9" w:rsidP="00B730A9">
      <w:pPr>
        <w:rPr>
          <w:rFonts w:ascii="Arial" w:hAnsi="Arial" w:cs="Arial"/>
          <w:sz w:val="24"/>
          <w:szCs w:val="24"/>
        </w:rPr>
      </w:pPr>
      <w:r w:rsidRPr="00B730A9">
        <w:rPr>
          <w:rFonts w:ascii="Arial" w:hAnsi="Arial" w:cs="Arial"/>
          <w:sz w:val="24"/>
          <w:szCs w:val="24"/>
        </w:rPr>
        <w:t>6. Develop Public Engagement Framework</w:t>
      </w:r>
    </w:p>
    <w:p w14:paraId="5A538444" w14:textId="77777777" w:rsidR="00B730A9" w:rsidRPr="00B730A9" w:rsidRDefault="00B730A9" w:rsidP="00B730A9">
      <w:pPr>
        <w:ind w:firstLine="270"/>
        <w:rPr>
          <w:rFonts w:ascii="Arial" w:hAnsi="Arial" w:cs="Arial"/>
          <w:sz w:val="24"/>
          <w:szCs w:val="24"/>
        </w:rPr>
      </w:pPr>
      <w:r w:rsidRPr="00B730A9">
        <w:rPr>
          <w:rFonts w:ascii="Arial" w:hAnsi="Arial" w:cs="Arial"/>
          <w:sz w:val="24"/>
          <w:szCs w:val="24"/>
        </w:rPr>
        <w:t>Prepare messaging and community education materials.</w:t>
      </w:r>
    </w:p>
    <w:p w14:paraId="51061937" w14:textId="77777777" w:rsidR="00B730A9" w:rsidRPr="00B730A9" w:rsidRDefault="00B730A9" w:rsidP="00B730A9">
      <w:pPr>
        <w:rPr>
          <w:rFonts w:ascii="Arial" w:hAnsi="Arial" w:cs="Arial"/>
          <w:sz w:val="24"/>
          <w:szCs w:val="24"/>
        </w:rPr>
      </w:pPr>
      <w:r w:rsidRPr="00B730A9">
        <w:rPr>
          <w:rFonts w:ascii="Arial" w:hAnsi="Arial" w:cs="Arial"/>
          <w:sz w:val="24"/>
          <w:szCs w:val="24"/>
        </w:rPr>
        <w:t>7. Return to Board for Policy Direction</w:t>
      </w:r>
    </w:p>
    <w:p w14:paraId="72023E20" w14:textId="77777777" w:rsidR="00B730A9" w:rsidRPr="00B730A9" w:rsidRDefault="00B730A9" w:rsidP="00B730A9">
      <w:pPr>
        <w:ind w:firstLine="270"/>
        <w:rPr>
          <w:rFonts w:ascii="Arial" w:hAnsi="Arial" w:cs="Arial"/>
          <w:sz w:val="24"/>
          <w:szCs w:val="24"/>
        </w:rPr>
      </w:pPr>
      <w:r w:rsidRPr="00B730A9">
        <w:rPr>
          <w:rFonts w:ascii="Arial" w:hAnsi="Arial" w:cs="Arial"/>
          <w:sz w:val="24"/>
          <w:szCs w:val="24"/>
        </w:rPr>
        <w:lastRenderedPageBreak/>
        <w:t>Provide refined financial modeling and partnership options.</w:t>
      </w:r>
    </w:p>
    <w:p w14:paraId="0DE09D40" w14:textId="77777777" w:rsidR="00E85B4E" w:rsidRPr="00B730A9" w:rsidRDefault="00E85B4E" w:rsidP="00B730A9"/>
    <w:sectPr w:rsidR="00E85B4E" w:rsidRPr="00B730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D4E97" w14:textId="77777777" w:rsidR="00220728" w:rsidRDefault="00220728" w:rsidP="00F61CCE">
      <w:pPr>
        <w:spacing w:after="0" w:line="240" w:lineRule="auto"/>
      </w:pPr>
      <w:r>
        <w:separator/>
      </w:r>
    </w:p>
  </w:endnote>
  <w:endnote w:type="continuationSeparator" w:id="0">
    <w:p w14:paraId="1A290E48" w14:textId="77777777" w:rsidR="00220728" w:rsidRDefault="00220728" w:rsidP="00F6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B7CF" w14:textId="77777777" w:rsidR="00220728" w:rsidRDefault="00220728" w:rsidP="00F61CCE">
      <w:pPr>
        <w:spacing w:after="0" w:line="240" w:lineRule="auto"/>
      </w:pPr>
      <w:r>
        <w:separator/>
      </w:r>
    </w:p>
  </w:footnote>
  <w:footnote w:type="continuationSeparator" w:id="0">
    <w:p w14:paraId="07F76D02" w14:textId="77777777" w:rsidR="00220728" w:rsidRDefault="00220728" w:rsidP="00F61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6983"/>
    <w:multiLevelType w:val="multilevel"/>
    <w:tmpl w:val="1E52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85046"/>
    <w:multiLevelType w:val="multilevel"/>
    <w:tmpl w:val="AB72E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A1BE5"/>
    <w:multiLevelType w:val="multilevel"/>
    <w:tmpl w:val="8A88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1547C"/>
    <w:multiLevelType w:val="multilevel"/>
    <w:tmpl w:val="D0B2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14341"/>
    <w:multiLevelType w:val="multilevel"/>
    <w:tmpl w:val="AC16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5642E"/>
    <w:multiLevelType w:val="multilevel"/>
    <w:tmpl w:val="02FA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D002F"/>
    <w:multiLevelType w:val="multilevel"/>
    <w:tmpl w:val="7B82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A79B7"/>
    <w:multiLevelType w:val="multilevel"/>
    <w:tmpl w:val="6E10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1408E"/>
    <w:multiLevelType w:val="multilevel"/>
    <w:tmpl w:val="76EC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44FB1"/>
    <w:multiLevelType w:val="multilevel"/>
    <w:tmpl w:val="EA4C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40F06"/>
    <w:multiLevelType w:val="multilevel"/>
    <w:tmpl w:val="22D4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653E9"/>
    <w:multiLevelType w:val="multilevel"/>
    <w:tmpl w:val="9520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294494"/>
    <w:multiLevelType w:val="multilevel"/>
    <w:tmpl w:val="5C12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266B2F"/>
    <w:multiLevelType w:val="multilevel"/>
    <w:tmpl w:val="6EC6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EF427A"/>
    <w:multiLevelType w:val="multilevel"/>
    <w:tmpl w:val="2E8C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040410"/>
    <w:multiLevelType w:val="multilevel"/>
    <w:tmpl w:val="19D4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B03AAF"/>
    <w:multiLevelType w:val="multilevel"/>
    <w:tmpl w:val="0708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E40FA4"/>
    <w:multiLevelType w:val="multilevel"/>
    <w:tmpl w:val="83B4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6C6953"/>
    <w:multiLevelType w:val="multilevel"/>
    <w:tmpl w:val="CCF8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83F08"/>
    <w:multiLevelType w:val="multilevel"/>
    <w:tmpl w:val="99A4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0561DA"/>
    <w:multiLevelType w:val="multilevel"/>
    <w:tmpl w:val="69AE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C69FA"/>
    <w:multiLevelType w:val="multilevel"/>
    <w:tmpl w:val="D884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75092E"/>
    <w:multiLevelType w:val="multilevel"/>
    <w:tmpl w:val="D61E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5E079A"/>
    <w:multiLevelType w:val="multilevel"/>
    <w:tmpl w:val="826E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504B55"/>
    <w:multiLevelType w:val="multilevel"/>
    <w:tmpl w:val="91F0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F971CA"/>
    <w:multiLevelType w:val="multilevel"/>
    <w:tmpl w:val="6704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7A0310"/>
    <w:multiLevelType w:val="multilevel"/>
    <w:tmpl w:val="47BE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75095B"/>
    <w:multiLevelType w:val="multilevel"/>
    <w:tmpl w:val="0D76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757ECA"/>
    <w:multiLevelType w:val="multilevel"/>
    <w:tmpl w:val="B678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AC3DAF"/>
    <w:multiLevelType w:val="multilevel"/>
    <w:tmpl w:val="20A6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495019"/>
    <w:multiLevelType w:val="multilevel"/>
    <w:tmpl w:val="0980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91AA6"/>
    <w:multiLevelType w:val="multilevel"/>
    <w:tmpl w:val="191C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03130A"/>
    <w:multiLevelType w:val="multilevel"/>
    <w:tmpl w:val="1F40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8C7C68"/>
    <w:multiLevelType w:val="multilevel"/>
    <w:tmpl w:val="DF96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6434DB"/>
    <w:multiLevelType w:val="multilevel"/>
    <w:tmpl w:val="F950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743B29"/>
    <w:multiLevelType w:val="multilevel"/>
    <w:tmpl w:val="8A94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E951F0"/>
    <w:multiLevelType w:val="multilevel"/>
    <w:tmpl w:val="3C84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225252"/>
    <w:multiLevelType w:val="multilevel"/>
    <w:tmpl w:val="D6A2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986255"/>
    <w:multiLevelType w:val="multilevel"/>
    <w:tmpl w:val="6792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DE48C2"/>
    <w:multiLevelType w:val="multilevel"/>
    <w:tmpl w:val="DE3E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512149"/>
    <w:multiLevelType w:val="multilevel"/>
    <w:tmpl w:val="3616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5A7A56"/>
    <w:multiLevelType w:val="multilevel"/>
    <w:tmpl w:val="02E6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C97E80"/>
    <w:multiLevelType w:val="multilevel"/>
    <w:tmpl w:val="B3B4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425496">
    <w:abstractNumId w:val="10"/>
  </w:num>
  <w:num w:numId="2" w16cid:durableId="1286618495">
    <w:abstractNumId w:val="11"/>
  </w:num>
  <w:num w:numId="3" w16cid:durableId="1950426388">
    <w:abstractNumId w:val="14"/>
  </w:num>
  <w:num w:numId="4" w16cid:durableId="1996447096">
    <w:abstractNumId w:val="12"/>
  </w:num>
  <w:num w:numId="5" w16cid:durableId="2140420074">
    <w:abstractNumId w:val="0"/>
  </w:num>
  <w:num w:numId="6" w16cid:durableId="2051490374">
    <w:abstractNumId w:val="22"/>
  </w:num>
  <w:num w:numId="7" w16cid:durableId="620578699">
    <w:abstractNumId w:val="16"/>
  </w:num>
  <w:num w:numId="8" w16cid:durableId="800727796">
    <w:abstractNumId w:val="36"/>
  </w:num>
  <w:num w:numId="9" w16cid:durableId="1383288487">
    <w:abstractNumId w:val="15"/>
  </w:num>
  <w:num w:numId="10" w16cid:durableId="1872180329">
    <w:abstractNumId w:val="19"/>
  </w:num>
  <w:num w:numId="11" w16cid:durableId="498352334">
    <w:abstractNumId w:val="30"/>
  </w:num>
  <w:num w:numId="12" w16cid:durableId="1332491160">
    <w:abstractNumId w:val="32"/>
  </w:num>
  <w:num w:numId="13" w16cid:durableId="181936786">
    <w:abstractNumId w:val="7"/>
  </w:num>
  <w:num w:numId="14" w16cid:durableId="388771881">
    <w:abstractNumId w:val="42"/>
  </w:num>
  <w:num w:numId="15" w16cid:durableId="1739327688">
    <w:abstractNumId w:val="34"/>
  </w:num>
  <w:num w:numId="16" w16cid:durableId="967858307">
    <w:abstractNumId w:val="2"/>
  </w:num>
  <w:num w:numId="17" w16cid:durableId="1584141051">
    <w:abstractNumId w:val="33"/>
  </w:num>
  <w:num w:numId="18" w16cid:durableId="2037995980">
    <w:abstractNumId w:val="27"/>
  </w:num>
  <w:num w:numId="19" w16cid:durableId="845364835">
    <w:abstractNumId w:val="17"/>
  </w:num>
  <w:num w:numId="20" w16cid:durableId="1920484598">
    <w:abstractNumId w:val="6"/>
  </w:num>
  <w:num w:numId="21" w16cid:durableId="1098981557">
    <w:abstractNumId w:val="25"/>
  </w:num>
  <w:num w:numId="22" w16cid:durableId="309868484">
    <w:abstractNumId w:val="39"/>
  </w:num>
  <w:num w:numId="23" w16cid:durableId="498038378">
    <w:abstractNumId w:val="8"/>
  </w:num>
  <w:num w:numId="24" w16cid:durableId="282539388">
    <w:abstractNumId w:val="3"/>
  </w:num>
  <w:num w:numId="25" w16cid:durableId="1346445173">
    <w:abstractNumId w:val="1"/>
  </w:num>
  <w:num w:numId="26" w16cid:durableId="1344867910">
    <w:abstractNumId w:val="4"/>
  </w:num>
  <w:num w:numId="27" w16cid:durableId="1925604483">
    <w:abstractNumId w:val="23"/>
  </w:num>
  <w:num w:numId="28" w16cid:durableId="845638038">
    <w:abstractNumId w:val="24"/>
  </w:num>
  <w:num w:numId="29" w16cid:durableId="123086053">
    <w:abstractNumId w:val="31"/>
  </w:num>
  <w:num w:numId="30" w16cid:durableId="1825580178">
    <w:abstractNumId w:val="5"/>
  </w:num>
  <w:num w:numId="31" w16cid:durableId="923221588">
    <w:abstractNumId w:val="20"/>
  </w:num>
  <w:num w:numId="32" w16cid:durableId="421074330">
    <w:abstractNumId w:val="29"/>
  </w:num>
  <w:num w:numId="33" w16cid:durableId="516430261">
    <w:abstractNumId w:val="35"/>
  </w:num>
  <w:num w:numId="34" w16cid:durableId="1036389957">
    <w:abstractNumId w:val="40"/>
  </w:num>
  <w:num w:numId="35" w16cid:durableId="1904102055">
    <w:abstractNumId w:val="13"/>
  </w:num>
  <w:num w:numId="36" w16cid:durableId="1099712772">
    <w:abstractNumId w:val="18"/>
  </w:num>
  <w:num w:numId="37" w16cid:durableId="1981616971">
    <w:abstractNumId w:val="38"/>
  </w:num>
  <w:num w:numId="38" w16cid:durableId="1543127604">
    <w:abstractNumId w:val="37"/>
  </w:num>
  <w:num w:numId="39" w16cid:durableId="1320961237">
    <w:abstractNumId w:val="9"/>
  </w:num>
  <w:num w:numId="40" w16cid:durableId="2019235632">
    <w:abstractNumId w:val="41"/>
  </w:num>
  <w:num w:numId="41" w16cid:durableId="1519006528">
    <w:abstractNumId w:val="21"/>
  </w:num>
  <w:num w:numId="42" w16cid:durableId="1746879048">
    <w:abstractNumId w:val="26"/>
  </w:num>
  <w:num w:numId="43" w16cid:durableId="5149282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E5"/>
    <w:rsid w:val="00220728"/>
    <w:rsid w:val="002D5248"/>
    <w:rsid w:val="002F51E5"/>
    <w:rsid w:val="005F375F"/>
    <w:rsid w:val="00702C12"/>
    <w:rsid w:val="00950699"/>
    <w:rsid w:val="00B730A9"/>
    <w:rsid w:val="00D92FE7"/>
    <w:rsid w:val="00DB4E91"/>
    <w:rsid w:val="00E85B4E"/>
    <w:rsid w:val="00F61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898D"/>
  <w15:chartTrackingRefBased/>
  <w15:docId w15:val="{87625F4F-9E43-4936-A7B3-7B60DE7A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1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1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1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1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1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1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1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1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1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1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1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1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1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1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1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1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1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1E5"/>
    <w:rPr>
      <w:rFonts w:eastAsiaTheme="majorEastAsia" w:cstheme="majorBidi"/>
      <w:color w:val="272727" w:themeColor="text1" w:themeTint="D8"/>
    </w:rPr>
  </w:style>
  <w:style w:type="paragraph" w:styleId="Title">
    <w:name w:val="Title"/>
    <w:basedOn w:val="Normal"/>
    <w:next w:val="Normal"/>
    <w:link w:val="TitleChar"/>
    <w:uiPriority w:val="10"/>
    <w:qFormat/>
    <w:rsid w:val="002F5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1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1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1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1E5"/>
    <w:pPr>
      <w:spacing w:before="160"/>
      <w:jc w:val="center"/>
    </w:pPr>
    <w:rPr>
      <w:i/>
      <w:iCs/>
      <w:color w:val="404040" w:themeColor="text1" w:themeTint="BF"/>
    </w:rPr>
  </w:style>
  <w:style w:type="character" w:customStyle="1" w:styleId="QuoteChar">
    <w:name w:val="Quote Char"/>
    <w:basedOn w:val="DefaultParagraphFont"/>
    <w:link w:val="Quote"/>
    <w:uiPriority w:val="29"/>
    <w:rsid w:val="002F51E5"/>
    <w:rPr>
      <w:i/>
      <w:iCs/>
      <w:color w:val="404040" w:themeColor="text1" w:themeTint="BF"/>
    </w:rPr>
  </w:style>
  <w:style w:type="paragraph" w:styleId="ListParagraph">
    <w:name w:val="List Paragraph"/>
    <w:basedOn w:val="Normal"/>
    <w:uiPriority w:val="34"/>
    <w:qFormat/>
    <w:rsid w:val="002F51E5"/>
    <w:pPr>
      <w:ind w:left="720"/>
      <w:contextualSpacing/>
    </w:pPr>
  </w:style>
  <w:style w:type="character" w:styleId="IntenseEmphasis">
    <w:name w:val="Intense Emphasis"/>
    <w:basedOn w:val="DefaultParagraphFont"/>
    <w:uiPriority w:val="21"/>
    <w:qFormat/>
    <w:rsid w:val="002F51E5"/>
    <w:rPr>
      <w:i/>
      <w:iCs/>
      <w:color w:val="0F4761" w:themeColor="accent1" w:themeShade="BF"/>
    </w:rPr>
  </w:style>
  <w:style w:type="paragraph" w:styleId="IntenseQuote">
    <w:name w:val="Intense Quote"/>
    <w:basedOn w:val="Normal"/>
    <w:next w:val="Normal"/>
    <w:link w:val="IntenseQuoteChar"/>
    <w:uiPriority w:val="30"/>
    <w:qFormat/>
    <w:rsid w:val="002F51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1E5"/>
    <w:rPr>
      <w:i/>
      <w:iCs/>
      <w:color w:val="0F4761" w:themeColor="accent1" w:themeShade="BF"/>
    </w:rPr>
  </w:style>
  <w:style w:type="character" w:styleId="IntenseReference">
    <w:name w:val="Intense Reference"/>
    <w:basedOn w:val="DefaultParagraphFont"/>
    <w:uiPriority w:val="32"/>
    <w:qFormat/>
    <w:rsid w:val="002F51E5"/>
    <w:rPr>
      <w:b/>
      <w:bCs/>
      <w:smallCaps/>
      <w:color w:val="0F4761" w:themeColor="accent1" w:themeShade="BF"/>
      <w:spacing w:val="5"/>
    </w:rPr>
  </w:style>
  <w:style w:type="paragraph" w:styleId="Header">
    <w:name w:val="header"/>
    <w:basedOn w:val="Normal"/>
    <w:link w:val="HeaderChar"/>
    <w:uiPriority w:val="99"/>
    <w:unhideWhenUsed/>
    <w:rsid w:val="00F61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CCE"/>
  </w:style>
  <w:style w:type="paragraph" w:styleId="Footer">
    <w:name w:val="footer"/>
    <w:basedOn w:val="Normal"/>
    <w:link w:val="FooterChar"/>
    <w:uiPriority w:val="99"/>
    <w:unhideWhenUsed/>
    <w:rsid w:val="00F61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1786</Words>
  <Characters>11544</Characters>
  <Application>Microsoft Office Word</Application>
  <DocSecurity>0</DocSecurity>
  <Lines>296</Lines>
  <Paragraphs>199</Paragraphs>
  <ScaleCrop>false</ScaleCrop>
  <HeadingPairs>
    <vt:vector size="2" baseType="variant">
      <vt:variant>
        <vt:lpstr>Title</vt:lpstr>
      </vt:variant>
      <vt:variant>
        <vt:i4>1</vt:i4>
      </vt:variant>
    </vt:vector>
  </HeadingPairs>
  <TitlesOfParts>
    <vt:vector size="1" baseType="lpstr">
      <vt:lpstr/>
    </vt:vector>
  </TitlesOfParts>
  <Company>Cameron Park Community Services District</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Manager</dc:creator>
  <cp:keywords/>
  <dc:description/>
  <cp:lastModifiedBy>General Manager</cp:lastModifiedBy>
  <cp:revision>3</cp:revision>
  <cp:lastPrinted>2025-12-10T01:06:00Z</cp:lastPrinted>
  <dcterms:created xsi:type="dcterms:W3CDTF">2025-12-16T22:48:00Z</dcterms:created>
  <dcterms:modified xsi:type="dcterms:W3CDTF">2026-01-20T21:02:00Z</dcterms:modified>
</cp:coreProperties>
</file>